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R4-2118939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Remianing issues on Perf requirements for R16 NR Positioning</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5.1.4.2.1.2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The topic on accuracy requirements for UE Rx - Tx measurements was discussed during the RAN4 99-e meeting without concluding on everything. The current status is summarized in the WF [1] as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pPr>
            <w:r>
              <w:drawing>
                <wp:inline distT="0" distB="0" distL="114300" distR="114300">
                  <wp:extent cx="4552950" cy="20300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52950" cy="2030095"/>
                          </a:xfrm>
                          <a:prstGeom prst="rect">
                            <a:avLst/>
                          </a:prstGeom>
                          <a:noFill/>
                          <a:ln>
                            <a:noFill/>
                          </a:ln>
                        </pic:spPr>
                      </pic:pic>
                    </a:graphicData>
                  </a:graphic>
                </wp:inline>
              </w:drawing>
            </w:r>
          </w:p>
          <w:p>
            <w:pPr>
              <w:jc w:val="center"/>
              <w:rPr>
                <w:rFonts w:hint="default"/>
                <w:lang w:val="en-US" w:eastAsia="zh-CN"/>
              </w:rPr>
            </w:pPr>
            <w:r>
              <w:drawing>
                <wp:inline distT="0" distB="0" distL="114300" distR="114300">
                  <wp:extent cx="5097145" cy="265874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097145" cy="265874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As a reference to PRS-RSRP measurement accuracy (relative and absolute), we search for the SS-RSRP measurement accuracy requirements in TS 38.133 [2]:</w:t>
      </w:r>
    </w:p>
    <w:p>
      <w:pPr>
        <w:rPr>
          <w:rFonts w:hint="eastAsia" w:eastAsia="宋体"/>
          <w:sz w:val="22"/>
          <w:szCs w:val="22"/>
          <w:lang w:val="en-US" w:eastAsia="zh-CN"/>
        </w:rPr>
      </w:pPr>
    </w:p>
    <w:p>
      <w:pPr>
        <w:pStyle w:val="66"/>
      </w:pPr>
      <w:r>
        <w:t>Table 10.1.2.1.1-1: SS-RSRP Intra frequency absolute accuracy in FR1</w:t>
      </w:r>
    </w:p>
    <w:tbl>
      <w:tblPr>
        <w:tblStyle w:val="17"/>
        <w:tblW w:w="10172" w:type="dxa"/>
        <w:jc w:val="center"/>
        <w:tblLayout w:type="autofit"/>
        <w:tblCellMar>
          <w:top w:w="0" w:type="dxa"/>
          <w:left w:w="108" w:type="dxa"/>
          <w:bottom w:w="0" w:type="dxa"/>
          <w:right w:w="108" w:type="dxa"/>
        </w:tblCellMar>
      </w:tblPr>
      <w:tblGrid>
        <w:gridCol w:w="1036"/>
        <w:gridCol w:w="1055"/>
        <w:gridCol w:w="833"/>
        <w:gridCol w:w="2530"/>
        <w:gridCol w:w="1005"/>
        <w:gridCol w:w="833"/>
        <w:gridCol w:w="1440"/>
        <w:gridCol w:w="1440"/>
      </w:tblGrid>
      <w:tr>
        <w:tblPrEx>
          <w:tblCellMar>
            <w:top w:w="0" w:type="dxa"/>
            <w:left w:w="108" w:type="dxa"/>
            <w:bottom w:w="0" w:type="dxa"/>
            <w:right w:w="108" w:type="dxa"/>
          </w:tblCellMar>
        </w:tblPrEx>
        <w:trPr>
          <w:jc w:val="center"/>
        </w:trPr>
        <w:tc>
          <w:tcPr>
            <w:tcW w:w="2091" w:type="dxa"/>
            <w:gridSpan w:val="2"/>
            <w:tcBorders>
              <w:top w:val="single" w:color="auto" w:sz="4" w:space="0"/>
              <w:left w:val="single" w:color="auto" w:sz="4" w:space="0"/>
              <w:bottom w:val="single" w:color="auto" w:sz="6" w:space="0"/>
              <w:right w:val="single" w:color="auto" w:sz="6" w:space="0"/>
            </w:tcBorders>
            <w:shd w:val="clear" w:color="auto" w:fill="auto"/>
          </w:tcPr>
          <w:p>
            <w:pPr>
              <w:pStyle w:val="66"/>
            </w:pPr>
            <w:r>
              <w:t>Accuracy</w:t>
            </w:r>
          </w:p>
        </w:tc>
        <w:tc>
          <w:tcPr>
            <w:tcW w:w="8081" w:type="dxa"/>
            <w:gridSpan w:val="6"/>
            <w:tcBorders>
              <w:top w:val="single" w:color="auto" w:sz="4" w:space="0"/>
              <w:left w:val="single" w:color="auto" w:sz="6" w:space="0"/>
              <w:bottom w:val="single" w:color="auto" w:sz="6" w:space="0"/>
              <w:right w:val="single" w:color="auto" w:sz="4" w:space="0"/>
            </w:tcBorders>
            <w:shd w:val="clear" w:color="auto" w:fill="auto"/>
          </w:tcPr>
          <w:p>
            <w:pPr>
              <w:pStyle w:val="66"/>
            </w:pPr>
            <w:r>
              <w:t>Conditions</w:t>
            </w:r>
          </w:p>
        </w:tc>
      </w:tr>
      <w:tr>
        <w:tblPrEx>
          <w:tblCellMar>
            <w:top w:w="0" w:type="dxa"/>
            <w:left w:w="108" w:type="dxa"/>
            <w:bottom w:w="0" w:type="dxa"/>
            <w:right w:w="108" w:type="dxa"/>
          </w:tblCellMar>
        </w:tblPrEx>
        <w:trPr>
          <w:jc w:val="center"/>
        </w:trPr>
        <w:tc>
          <w:tcPr>
            <w:tcW w:w="1036" w:type="dxa"/>
            <w:tcBorders>
              <w:top w:val="single" w:color="auto" w:sz="6" w:space="0"/>
              <w:left w:val="single" w:color="auto" w:sz="4" w:space="0"/>
              <w:right w:val="single" w:color="auto" w:sz="6" w:space="0"/>
            </w:tcBorders>
            <w:shd w:val="clear" w:color="auto" w:fill="auto"/>
          </w:tcPr>
          <w:p>
            <w:pPr>
              <w:pStyle w:val="66"/>
            </w:pPr>
            <w:r>
              <w:t>Normal condition</w:t>
            </w:r>
          </w:p>
        </w:tc>
        <w:tc>
          <w:tcPr>
            <w:tcW w:w="1055" w:type="dxa"/>
            <w:tcBorders>
              <w:top w:val="single" w:color="auto" w:sz="6" w:space="0"/>
              <w:left w:val="single" w:color="auto" w:sz="6" w:space="0"/>
              <w:right w:val="single" w:color="auto" w:sz="6" w:space="0"/>
            </w:tcBorders>
            <w:shd w:val="clear" w:color="auto" w:fill="auto"/>
          </w:tcPr>
          <w:p>
            <w:pPr>
              <w:pStyle w:val="66"/>
            </w:pPr>
            <w:r>
              <w:t>Extreme condition</w:t>
            </w:r>
          </w:p>
        </w:tc>
        <w:tc>
          <w:tcPr>
            <w:tcW w:w="833" w:type="dxa"/>
            <w:tcBorders>
              <w:top w:val="single" w:color="auto" w:sz="6" w:space="0"/>
              <w:left w:val="single" w:color="auto" w:sz="6" w:space="0"/>
              <w:right w:val="single" w:color="auto" w:sz="6" w:space="0"/>
            </w:tcBorders>
            <w:shd w:val="clear" w:color="auto" w:fill="auto"/>
          </w:tcPr>
          <w:p>
            <w:pPr>
              <w:pStyle w:val="66"/>
            </w:pPr>
            <w:r>
              <w:t>SSB Ês/Iot</w:t>
            </w:r>
          </w:p>
        </w:tc>
        <w:tc>
          <w:tcPr>
            <w:tcW w:w="7248" w:type="dxa"/>
            <w:gridSpan w:val="5"/>
            <w:tcBorders>
              <w:top w:val="single" w:color="auto" w:sz="6" w:space="0"/>
              <w:left w:val="single" w:color="auto" w:sz="6" w:space="0"/>
              <w:bottom w:val="single" w:color="auto" w:sz="6" w:space="0"/>
              <w:right w:val="single" w:color="auto" w:sz="4" w:space="0"/>
            </w:tcBorders>
            <w:shd w:val="clear" w:color="auto" w:fill="auto"/>
          </w:tcPr>
          <w:p>
            <w:pPr>
              <w:pStyle w:val="6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1036" w:type="dxa"/>
            <w:tcBorders>
              <w:left w:val="single" w:color="auto" w:sz="4" w:space="0"/>
              <w:bottom w:val="single" w:color="auto" w:sz="4" w:space="0"/>
              <w:right w:val="single" w:color="auto" w:sz="6" w:space="0"/>
            </w:tcBorders>
            <w:shd w:val="clear" w:color="auto" w:fill="auto"/>
          </w:tcPr>
          <w:p>
            <w:pPr>
              <w:pStyle w:val="66"/>
            </w:pPr>
          </w:p>
        </w:tc>
        <w:tc>
          <w:tcPr>
            <w:tcW w:w="1055" w:type="dxa"/>
            <w:tcBorders>
              <w:left w:val="single" w:color="auto" w:sz="6" w:space="0"/>
              <w:bottom w:val="single" w:color="auto" w:sz="6" w:space="0"/>
              <w:right w:val="single" w:color="auto" w:sz="6" w:space="0"/>
            </w:tcBorders>
            <w:shd w:val="clear" w:color="auto" w:fill="auto"/>
          </w:tcPr>
          <w:p>
            <w:pPr>
              <w:pStyle w:val="66"/>
            </w:pPr>
          </w:p>
        </w:tc>
        <w:tc>
          <w:tcPr>
            <w:tcW w:w="833" w:type="dxa"/>
            <w:tcBorders>
              <w:left w:val="single" w:color="auto" w:sz="6" w:space="0"/>
              <w:bottom w:val="single" w:color="auto" w:sz="6" w:space="0"/>
              <w:right w:val="single" w:color="auto" w:sz="6" w:space="0"/>
            </w:tcBorders>
            <w:shd w:val="clear" w:color="auto" w:fill="auto"/>
          </w:tcPr>
          <w:p>
            <w:pPr>
              <w:pStyle w:val="66"/>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6"/>
            </w:pPr>
            <w:r>
              <w:t>NR operating band groups</w:t>
            </w:r>
            <w:r>
              <w:rPr>
                <w:vertAlign w:val="superscript"/>
              </w:rPr>
              <w:t xml:space="preserve"> Note 2</w:t>
            </w:r>
          </w:p>
        </w:tc>
        <w:tc>
          <w:tcPr>
            <w:tcW w:w="3278" w:type="dxa"/>
            <w:gridSpan w:val="3"/>
            <w:tcBorders>
              <w:top w:val="single" w:color="auto" w:sz="4" w:space="0"/>
              <w:left w:val="single" w:color="auto" w:sz="4" w:space="0"/>
              <w:bottom w:val="single" w:color="auto" w:sz="6" w:space="0"/>
              <w:right w:val="single" w:color="auto" w:sz="6" w:space="0"/>
            </w:tcBorders>
            <w:shd w:val="clear" w:color="auto" w:fill="auto"/>
          </w:tcPr>
          <w:p>
            <w:pPr>
              <w:pStyle w:val="66"/>
            </w:pPr>
            <w:r>
              <w:t>Minimum Io</w:t>
            </w:r>
          </w:p>
        </w:tc>
        <w:tc>
          <w:tcPr>
            <w:tcW w:w="1440" w:type="dxa"/>
            <w:tcBorders>
              <w:top w:val="single" w:color="auto" w:sz="4" w:space="0"/>
              <w:left w:val="single" w:color="auto" w:sz="6" w:space="0"/>
              <w:bottom w:val="single" w:color="auto" w:sz="6" w:space="0"/>
              <w:right w:val="single" w:color="auto" w:sz="4" w:space="0"/>
            </w:tcBorders>
            <w:shd w:val="clear" w:color="auto" w:fill="auto"/>
          </w:tcPr>
          <w:p>
            <w:pPr>
              <w:pStyle w:val="66"/>
            </w:pPr>
            <w:r>
              <w:t>Maximum Io</w:t>
            </w:r>
          </w:p>
        </w:tc>
      </w:tr>
      <w:tr>
        <w:tblPrEx>
          <w:tblCellMar>
            <w:top w:w="0" w:type="dxa"/>
            <w:left w:w="108" w:type="dxa"/>
            <w:bottom w:w="0" w:type="dxa"/>
            <w:right w:w="108" w:type="dxa"/>
          </w:tblCellMar>
        </w:tblPrEx>
        <w:trPr>
          <w:trHeight w:val="308" w:hRule="atLeast"/>
          <w:jc w:val="center"/>
        </w:trPr>
        <w:tc>
          <w:tcPr>
            <w:tcW w:w="1036" w:type="dxa"/>
            <w:tcBorders>
              <w:top w:val="single" w:color="auto" w:sz="4" w:space="0"/>
              <w:left w:val="single" w:color="auto" w:sz="4" w:space="0"/>
              <w:right w:val="single" w:color="auto" w:sz="6" w:space="0"/>
            </w:tcBorders>
            <w:shd w:val="clear" w:color="auto" w:fill="auto"/>
          </w:tcPr>
          <w:p>
            <w:pPr>
              <w:pStyle w:val="66"/>
            </w:pPr>
            <w:r>
              <w:t>dB</w:t>
            </w:r>
          </w:p>
        </w:tc>
        <w:tc>
          <w:tcPr>
            <w:tcW w:w="1055" w:type="dxa"/>
            <w:tcBorders>
              <w:top w:val="single" w:color="auto" w:sz="6" w:space="0"/>
              <w:left w:val="single" w:color="auto" w:sz="6" w:space="0"/>
              <w:right w:val="single" w:color="auto" w:sz="6" w:space="0"/>
            </w:tcBorders>
            <w:shd w:val="clear" w:color="auto" w:fill="auto"/>
          </w:tcPr>
          <w:p>
            <w:pPr>
              <w:pStyle w:val="66"/>
            </w:pPr>
            <w:r>
              <w:t>dB</w:t>
            </w:r>
          </w:p>
        </w:tc>
        <w:tc>
          <w:tcPr>
            <w:tcW w:w="833" w:type="dxa"/>
            <w:tcBorders>
              <w:top w:val="single" w:color="auto" w:sz="6" w:space="0"/>
              <w:left w:val="single" w:color="auto" w:sz="6" w:space="0"/>
              <w:right w:val="single" w:color="auto" w:sz="6" w:space="0"/>
            </w:tcBorders>
            <w:shd w:val="clear" w:color="auto" w:fill="auto"/>
          </w:tcPr>
          <w:p>
            <w:pPr>
              <w:pStyle w:val="66"/>
            </w:pPr>
            <w:r>
              <w:t>dB</w:t>
            </w:r>
          </w:p>
        </w:tc>
        <w:tc>
          <w:tcPr>
            <w:tcW w:w="2530" w:type="dxa"/>
            <w:tcBorders>
              <w:top w:val="single" w:color="auto" w:sz="6" w:space="0"/>
              <w:left w:val="single" w:color="auto" w:sz="6" w:space="0"/>
              <w:right w:val="single" w:color="auto" w:sz="4" w:space="0"/>
            </w:tcBorders>
            <w:shd w:val="clear" w:color="auto" w:fill="auto"/>
          </w:tcPr>
          <w:p>
            <w:pPr>
              <w:pStyle w:val="66"/>
            </w:pPr>
          </w:p>
        </w:tc>
        <w:tc>
          <w:tcPr>
            <w:tcW w:w="1838" w:type="dxa"/>
            <w:gridSpan w:val="2"/>
            <w:tcBorders>
              <w:top w:val="single" w:color="auto" w:sz="6" w:space="0"/>
              <w:left w:val="single" w:color="auto" w:sz="4" w:space="0"/>
              <w:bottom w:val="single" w:color="auto" w:sz="6" w:space="0"/>
              <w:right w:val="single" w:color="auto" w:sz="6" w:space="0"/>
            </w:tcBorders>
            <w:shd w:val="clear" w:color="auto" w:fill="auto"/>
          </w:tcPr>
          <w:p>
            <w:pPr>
              <w:pStyle w:val="66"/>
            </w:pPr>
            <w:r>
              <w:rPr>
                <w:rFonts w:cs="Arial"/>
              </w:rPr>
              <w:t xml:space="preserve">dBm / </w:t>
            </w:r>
            <w:r>
              <w:t>SCS</w:t>
            </w:r>
            <w:r>
              <w:rPr>
                <w:vertAlign w:val="subscript"/>
              </w:rPr>
              <w:t>SSB</w:t>
            </w:r>
          </w:p>
        </w:tc>
        <w:tc>
          <w:tcPr>
            <w:tcW w:w="1440" w:type="dxa"/>
            <w:tcBorders>
              <w:top w:val="single" w:color="auto" w:sz="6" w:space="0"/>
              <w:left w:val="single" w:color="auto" w:sz="6" w:space="0"/>
              <w:right w:val="single" w:color="auto" w:sz="6" w:space="0"/>
            </w:tcBorders>
            <w:shd w:val="clear" w:color="auto" w:fill="auto"/>
          </w:tcPr>
          <w:p>
            <w:pPr>
              <w:pStyle w:val="66"/>
            </w:pPr>
            <w:r>
              <w:t>dBm/BW</w:t>
            </w:r>
            <w:r>
              <w:rPr>
                <w:vertAlign w:val="subscript"/>
              </w:rPr>
              <w:t>Channel</w:t>
            </w:r>
          </w:p>
        </w:tc>
        <w:tc>
          <w:tcPr>
            <w:tcW w:w="1440" w:type="dxa"/>
            <w:tcBorders>
              <w:top w:val="single" w:color="auto" w:sz="6" w:space="0"/>
              <w:left w:val="single" w:color="auto" w:sz="6" w:space="0"/>
              <w:right w:val="single" w:color="auto" w:sz="4" w:space="0"/>
            </w:tcBorders>
            <w:shd w:val="clear" w:color="auto" w:fill="auto"/>
          </w:tcPr>
          <w:p>
            <w:pPr>
              <w:pStyle w:val="66"/>
            </w:pPr>
            <w:r>
              <w:t>dBm/BW</w:t>
            </w:r>
            <w:r>
              <w:rPr>
                <w:vertAlign w:val="subscript"/>
              </w:rPr>
              <w:t>Channel</w:t>
            </w:r>
          </w:p>
        </w:tc>
      </w:tr>
      <w:tr>
        <w:tblPrEx>
          <w:tblCellMar>
            <w:top w:w="0" w:type="dxa"/>
            <w:left w:w="108" w:type="dxa"/>
            <w:bottom w:w="0" w:type="dxa"/>
            <w:right w:w="108" w:type="dxa"/>
          </w:tblCellMar>
        </w:tblPrEx>
        <w:trPr>
          <w:trHeight w:val="307" w:hRule="atLeast"/>
          <w:jc w:val="center"/>
        </w:trPr>
        <w:tc>
          <w:tcPr>
            <w:tcW w:w="1036" w:type="dxa"/>
            <w:tcBorders>
              <w:left w:val="single" w:color="auto" w:sz="4" w:space="0"/>
              <w:bottom w:val="single" w:color="auto" w:sz="6" w:space="0"/>
              <w:right w:val="single" w:color="auto" w:sz="6" w:space="0"/>
            </w:tcBorders>
            <w:shd w:val="clear" w:color="auto" w:fill="auto"/>
          </w:tcPr>
          <w:p>
            <w:pPr>
              <w:pStyle w:val="66"/>
            </w:pPr>
          </w:p>
        </w:tc>
        <w:tc>
          <w:tcPr>
            <w:tcW w:w="1055" w:type="dxa"/>
            <w:tcBorders>
              <w:left w:val="single" w:color="auto" w:sz="6" w:space="0"/>
              <w:bottom w:val="single" w:color="auto" w:sz="6" w:space="0"/>
              <w:right w:val="single" w:color="auto" w:sz="6" w:space="0"/>
            </w:tcBorders>
            <w:shd w:val="clear" w:color="auto" w:fill="auto"/>
          </w:tcPr>
          <w:p>
            <w:pPr>
              <w:pStyle w:val="66"/>
            </w:pPr>
          </w:p>
        </w:tc>
        <w:tc>
          <w:tcPr>
            <w:tcW w:w="833" w:type="dxa"/>
            <w:tcBorders>
              <w:left w:val="single" w:color="auto" w:sz="6" w:space="0"/>
              <w:bottom w:val="single" w:color="auto" w:sz="6" w:space="0"/>
              <w:right w:val="single" w:color="auto" w:sz="6" w:space="0"/>
            </w:tcBorders>
            <w:shd w:val="clear" w:color="auto" w:fill="auto"/>
          </w:tcPr>
          <w:p>
            <w:pPr>
              <w:pStyle w:val="66"/>
            </w:pPr>
          </w:p>
        </w:tc>
        <w:tc>
          <w:tcPr>
            <w:tcW w:w="2530" w:type="dxa"/>
            <w:tcBorders>
              <w:left w:val="single" w:color="auto" w:sz="6" w:space="0"/>
              <w:bottom w:val="single" w:color="auto" w:sz="6" w:space="0"/>
              <w:right w:val="single" w:color="auto" w:sz="4" w:space="0"/>
            </w:tcBorders>
            <w:shd w:val="clear" w:color="auto" w:fill="auto"/>
          </w:tcPr>
          <w:p>
            <w:pPr>
              <w:pStyle w:val="66"/>
            </w:pP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6"/>
              <w:rPr>
                <w:rFonts w:cs="Arial"/>
              </w:rPr>
            </w:pPr>
            <w:r>
              <w:t>SCS</w:t>
            </w:r>
            <w:r>
              <w:rPr>
                <w:vertAlign w:val="subscript"/>
              </w:rPr>
              <w:t>SSB</w:t>
            </w:r>
            <w:r>
              <w:rPr>
                <w:rFonts w:cs="Arial"/>
              </w:rPr>
              <w:t xml:space="preserve"> = 15 kHz</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6"/>
              <w:rPr>
                <w:rFonts w:cs="Arial"/>
              </w:rPr>
            </w:pPr>
            <w:r>
              <w:t>SCS</w:t>
            </w:r>
            <w:r>
              <w:rPr>
                <w:vertAlign w:val="subscript"/>
              </w:rPr>
              <w:t>SSB</w:t>
            </w:r>
            <w:r>
              <w:rPr>
                <w:rFonts w:cs="Arial"/>
              </w:rPr>
              <w:t xml:space="preserve"> = 30 kHz</w:t>
            </w:r>
          </w:p>
        </w:tc>
        <w:tc>
          <w:tcPr>
            <w:tcW w:w="1440" w:type="dxa"/>
            <w:tcBorders>
              <w:left w:val="single" w:color="auto" w:sz="6" w:space="0"/>
              <w:bottom w:val="single" w:color="auto" w:sz="6" w:space="0"/>
              <w:right w:val="single" w:color="auto" w:sz="6" w:space="0"/>
            </w:tcBorders>
            <w:shd w:val="clear" w:color="auto" w:fill="auto"/>
          </w:tcPr>
          <w:p>
            <w:pPr>
              <w:pStyle w:val="66"/>
            </w:pPr>
          </w:p>
        </w:tc>
        <w:tc>
          <w:tcPr>
            <w:tcW w:w="1440" w:type="dxa"/>
            <w:tcBorders>
              <w:left w:val="single" w:color="auto" w:sz="6" w:space="0"/>
              <w:bottom w:val="single" w:color="auto" w:sz="6" w:space="0"/>
              <w:right w:val="single" w:color="auto" w:sz="4" w:space="0"/>
            </w:tcBorders>
            <w:shd w:val="clear" w:color="auto" w:fill="auto"/>
          </w:tcPr>
          <w:p>
            <w:pPr>
              <w:pStyle w:val="66"/>
            </w:pPr>
          </w:p>
        </w:tc>
      </w:tr>
      <w:tr>
        <w:tblPrEx>
          <w:tblCellMar>
            <w:top w:w="0" w:type="dxa"/>
            <w:left w:w="108" w:type="dxa"/>
            <w:bottom w:w="0" w:type="dxa"/>
            <w:right w:w="108" w:type="dxa"/>
          </w:tblCellMar>
        </w:tblPrEx>
        <w:trPr>
          <w:jc w:val="center"/>
        </w:trPr>
        <w:tc>
          <w:tcPr>
            <w:tcW w:w="1036" w:type="dxa"/>
            <w:tcBorders>
              <w:top w:val="single" w:color="auto" w:sz="6" w:space="0"/>
              <w:left w:val="single" w:color="auto" w:sz="4" w:space="0"/>
              <w:right w:val="single" w:color="auto" w:sz="6" w:space="0"/>
            </w:tcBorders>
            <w:shd w:val="clear" w:color="auto" w:fill="auto"/>
          </w:tcPr>
          <w:p>
            <w:pPr>
              <w:pStyle w:val="67"/>
            </w:pPr>
          </w:p>
        </w:tc>
        <w:tc>
          <w:tcPr>
            <w:tcW w:w="1055" w:type="dxa"/>
            <w:tcBorders>
              <w:top w:val="single" w:color="auto" w:sz="6" w:space="0"/>
              <w:left w:val="single" w:color="auto" w:sz="6" w:space="0"/>
              <w:right w:val="single" w:color="auto" w:sz="6" w:space="0"/>
            </w:tcBorders>
            <w:shd w:val="clear" w:color="auto" w:fill="auto"/>
          </w:tcPr>
          <w:p>
            <w:pPr>
              <w:pStyle w:val="67"/>
            </w:pPr>
          </w:p>
        </w:tc>
        <w:tc>
          <w:tcPr>
            <w:tcW w:w="833" w:type="dxa"/>
            <w:tcBorders>
              <w:top w:val="single" w:color="auto" w:sz="6" w:space="0"/>
              <w:left w:val="single" w:color="auto" w:sz="6" w:space="0"/>
              <w:right w:val="single" w:color="auto" w:sz="6" w:space="0"/>
            </w:tcBorders>
            <w:shd w:val="clear" w:color="auto" w:fill="auto"/>
          </w:tcPr>
          <w:p>
            <w:pPr>
              <w:pStyle w:val="67"/>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rPr>
                <w:rFonts w:cs="Arial"/>
                <w:szCs w:val="18"/>
              </w:rPr>
            </w:pPr>
            <w:r>
              <w:rPr>
                <w:rFonts w:cs="Arial"/>
                <w:szCs w:val="18"/>
              </w:rPr>
              <w:t>NR_FDD_FR1_A, NR_TDD_FR1_A,</w:t>
            </w:r>
          </w:p>
          <w:p>
            <w:pPr>
              <w:pStyle w:val="67"/>
              <w:rPr>
                <w:rFonts w:cs="Arial"/>
                <w:szCs w:val="18"/>
              </w:rPr>
            </w:pPr>
            <w:r>
              <w:rPr>
                <w:rFonts w:cs="Arial"/>
                <w:szCs w:val="18"/>
              </w:rPr>
              <w:t>NR_SDL_FR1_A</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-121</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pPr>
            <w:r>
              <w:t>-118</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left w:val="single" w:color="auto" w:sz="4" w:space="0"/>
              <w:right w:val="single" w:color="auto" w:sz="6" w:space="0"/>
            </w:tcBorders>
            <w:shd w:val="clear" w:color="auto" w:fill="auto"/>
          </w:tcPr>
          <w:p>
            <w:pPr>
              <w:pStyle w:val="67"/>
            </w:pPr>
          </w:p>
        </w:tc>
        <w:tc>
          <w:tcPr>
            <w:tcW w:w="1055" w:type="dxa"/>
            <w:tcBorders>
              <w:left w:val="single" w:color="auto" w:sz="6" w:space="0"/>
              <w:right w:val="single" w:color="auto" w:sz="6" w:space="0"/>
            </w:tcBorders>
            <w:shd w:val="clear" w:color="auto" w:fill="auto"/>
          </w:tcPr>
          <w:p>
            <w:pPr>
              <w:pStyle w:val="67"/>
            </w:pPr>
          </w:p>
        </w:tc>
        <w:tc>
          <w:tcPr>
            <w:tcW w:w="833" w:type="dxa"/>
            <w:tcBorders>
              <w:left w:val="single" w:color="auto" w:sz="6" w:space="0"/>
              <w:right w:val="single" w:color="auto" w:sz="6" w:space="0"/>
            </w:tcBorders>
            <w:shd w:val="clear" w:color="auto" w:fill="auto"/>
          </w:tcPr>
          <w:p>
            <w:pPr>
              <w:pStyle w:val="67"/>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pPr>
            <w:r>
              <w:t>NR_FDD_FR1_B</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-120.5</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rPr>
                <w:lang w:val="sv-SE"/>
              </w:rPr>
            </w:pPr>
            <w:r>
              <w:t>-117.5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left w:val="single" w:color="auto" w:sz="4" w:space="0"/>
              <w:right w:val="single" w:color="auto" w:sz="6" w:space="0"/>
            </w:tcBorders>
            <w:shd w:val="clear" w:color="auto" w:fill="auto"/>
          </w:tcPr>
          <w:p>
            <w:pPr>
              <w:pStyle w:val="67"/>
            </w:pPr>
          </w:p>
        </w:tc>
        <w:tc>
          <w:tcPr>
            <w:tcW w:w="1055" w:type="dxa"/>
            <w:tcBorders>
              <w:left w:val="single" w:color="auto" w:sz="6" w:space="0"/>
              <w:right w:val="single" w:color="auto" w:sz="6" w:space="0"/>
            </w:tcBorders>
            <w:shd w:val="clear" w:color="auto" w:fill="auto"/>
          </w:tcPr>
          <w:p>
            <w:pPr>
              <w:pStyle w:val="67"/>
            </w:pPr>
          </w:p>
        </w:tc>
        <w:tc>
          <w:tcPr>
            <w:tcW w:w="833" w:type="dxa"/>
            <w:tcBorders>
              <w:left w:val="single" w:color="auto" w:sz="6" w:space="0"/>
              <w:right w:val="single" w:color="auto" w:sz="6" w:space="0"/>
            </w:tcBorders>
            <w:shd w:val="clear" w:color="auto" w:fill="auto"/>
          </w:tcPr>
          <w:p>
            <w:pPr>
              <w:pStyle w:val="67"/>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pPr>
            <w:r>
              <w:t>NR_TDD_FR1_C</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-120</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rPr>
                <w:lang w:val="sv-SE"/>
              </w:rPr>
            </w:pPr>
            <w:r>
              <w:t>-117</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left w:val="single" w:color="auto" w:sz="4" w:space="0"/>
              <w:right w:val="single" w:color="auto" w:sz="6" w:space="0"/>
            </w:tcBorders>
            <w:shd w:val="clear" w:color="auto" w:fill="auto"/>
          </w:tcPr>
          <w:p>
            <w:pPr>
              <w:pStyle w:val="67"/>
            </w:pPr>
            <w:r>
              <w:rPr/>
              <w:sym w:font="Symbol" w:char="F0B1"/>
            </w:r>
            <w:r>
              <w:t>4.5</w:t>
            </w:r>
          </w:p>
        </w:tc>
        <w:tc>
          <w:tcPr>
            <w:tcW w:w="1055" w:type="dxa"/>
            <w:tcBorders>
              <w:left w:val="single" w:color="auto" w:sz="6" w:space="0"/>
              <w:right w:val="single" w:color="auto" w:sz="6" w:space="0"/>
            </w:tcBorders>
            <w:shd w:val="clear" w:color="auto" w:fill="auto"/>
          </w:tcPr>
          <w:p>
            <w:pPr>
              <w:pStyle w:val="67"/>
            </w:pPr>
            <w:r>
              <w:rPr/>
              <w:sym w:font="Symbol" w:char="F0B1"/>
            </w:r>
            <w:r>
              <w:t>9</w:t>
            </w:r>
          </w:p>
        </w:tc>
        <w:tc>
          <w:tcPr>
            <w:tcW w:w="833" w:type="dxa"/>
            <w:tcBorders>
              <w:left w:val="single" w:color="auto" w:sz="6" w:space="0"/>
              <w:right w:val="single" w:color="auto" w:sz="6" w:space="0"/>
            </w:tcBorders>
            <w:shd w:val="clear" w:color="auto" w:fill="auto"/>
          </w:tcPr>
          <w:p>
            <w:pPr>
              <w:pStyle w:val="67"/>
            </w:pPr>
            <w:r>
              <w:rPr/>
              <w:sym w:font="Symbol" w:char="F0B3"/>
            </w:r>
            <w:r>
              <w:t>-6</w:t>
            </w: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rPr>
                <w:lang w:val="sv-SE"/>
              </w:rPr>
            </w:pPr>
            <w:r>
              <w:rPr>
                <w:lang w:val="sv-SE"/>
              </w:rPr>
              <w:t>NR_FDD_FR1_D, NR_TDD_FR1_D</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-119.5</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pPr>
            <w:r>
              <w:t>-116.5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left w:val="single" w:color="auto" w:sz="4" w:space="0"/>
              <w:right w:val="single" w:color="auto" w:sz="6" w:space="0"/>
            </w:tcBorders>
            <w:shd w:val="clear" w:color="auto" w:fill="auto"/>
          </w:tcPr>
          <w:p>
            <w:pPr>
              <w:pStyle w:val="67"/>
            </w:pPr>
          </w:p>
        </w:tc>
        <w:tc>
          <w:tcPr>
            <w:tcW w:w="1055" w:type="dxa"/>
            <w:tcBorders>
              <w:left w:val="single" w:color="auto" w:sz="6" w:space="0"/>
              <w:right w:val="single" w:color="auto" w:sz="6" w:space="0"/>
            </w:tcBorders>
            <w:shd w:val="clear" w:color="auto" w:fill="auto"/>
          </w:tcPr>
          <w:p>
            <w:pPr>
              <w:pStyle w:val="67"/>
            </w:pPr>
          </w:p>
        </w:tc>
        <w:tc>
          <w:tcPr>
            <w:tcW w:w="833" w:type="dxa"/>
            <w:tcBorders>
              <w:left w:val="single" w:color="auto" w:sz="6" w:space="0"/>
              <w:right w:val="single" w:color="auto" w:sz="6" w:space="0"/>
            </w:tcBorders>
            <w:shd w:val="clear" w:color="auto" w:fill="auto"/>
          </w:tcPr>
          <w:p>
            <w:pPr>
              <w:pStyle w:val="67"/>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rPr>
                <w:lang w:val="sv-SE"/>
              </w:rPr>
            </w:pPr>
            <w:r>
              <w:rPr>
                <w:lang w:val="sv-SE"/>
              </w:rPr>
              <w:t>NR_FDD_FR1_E, NR_TDD_FR1_E</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-119</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rPr>
                <w:lang w:val="sv-SE"/>
              </w:rPr>
            </w:pPr>
            <w:r>
              <w:t>-116</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left w:val="single" w:color="auto" w:sz="4" w:space="0"/>
              <w:right w:val="single" w:color="auto" w:sz="6" w:space="0"/>
            </w:tcBorders>
            <w:shd w:val="clear" w:color="auto" w:fill="auto"/>
          </w:tcPr>
          <w:p>
            <w:pPr>
              <w:pStyle w:val="67"/>
            </w:pPr>
          </w:p>
        </w:tc>
        <w:tc>
          <w:tcPr>
            <w:tcW w:w="1055" w:type="dxa"/>
            <w:tcBorders>
              <w:left w:val="single" w:color="auto" w:sz="6" w:space="0"/>
              <w:right w:val="single" w:color="auto" w:sz="6" w:space="0"/>
            </w:tcBorders>
            <w:shd w:val="clear" w:color="auto" w:fill="auto"/>
          </w:tcPr>
          <w:p>
            <w:pPr>
              <w:pStyle w:val="67"/>
            </w:pPr>
          </w:p>
        </w:tc>
        <w:tc>
          <w:tcPr>
            <w:tcW w:w="833" w:type="dxa"/>
            <w:tcBorders>
              <w:left w:val="single" w:color="auto" w:sz="6" w:space="0"/>
              <w:right w:val="single" w:color="auto" w:sz="6" w:space="0"/>
            </w:tcBorders>
            <w:shd w:val="clear" w:color="auto" w:fill="auto"/>
          </w:tcPr>
          <w:p>
            <w:pPr>
              <w:pStyle w:val="67"/>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rPr>
                <w:lang w:val="sv-SE"/>
              </w:rPr>
            </w:pPr>
            <w:r>
              <w:rPr>
                <w:lang w:eastAsia="zh-CN"/>
              </w:rPr>
              <w:t>NR_FDD_FR1_F</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-118.5</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pPr>
            <w:r>
              <w:rPr>
                <w:rFonts w:cs="Arial"/>
              </w:rPr>
              <w:t>-115.5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left w:val="single" w:color="auto" w:sz="4" w:space="0"/>
              <w:right w:val="single" w:color="auto" w:sz="6" w:space="0"/>
            </w:tcBorders>
            <w:shd w:val="clear" w:color="auto" w:fill="auto"/>
          </w:tcPr>
          <w:p>
            <w:pPr>
              <w:pStyle w:val="67"/>
            </w:pPr>
          </w:p>
        </w:tc>
        <w:tc>
          <w:tcPr>
            <w:tcW w:w="1055" w:type="dxa"/>
            <w:tcBorders>
              <w:left w:val="single" w:color="auto" w:sz="6" w:space="0"/>
              <w:right w:val="single" w:color="auto" w:sz="6" w:space="0"/>
            </w:tcBorders>
            <w:shd w:val="clear" w:color="auto" w:fill="auto"/>
          </w:tcPr>
          <w:p>
            <w:pPr>
              <w:pStyle w:val="67"/>
            </w:pPr>
          </w:p>
        </w:tc>
        <w:tc>
          <w:tcPr>
            <w:tcW w:w="833" w:type="dxa"/>
            <w:tcBorders>
              <w:left w:val="single" w:color="auto" w:sz="6" w:space="0"/>
              <w:right w:val="single" w:color="auto" w:sz="6" w:space="0"/>
            </w:tcBorders>
            <w:shd w:val="clear" w:color="auto" w:fill="auto"/>
          </w:tcPr>
          <w:p>
            <w:pPr>
              <w:pStyle w:val="67"/>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rPr>
                <w:lang w:eastAsia="zh-CN"/>
              </w:rPr>
            </w:pPr>
            <w:r>
              <w:rPr>
                <w:lang w:eastAsia="zh-CN"/>
              </w:rPr>
              <w:t>NR</w:t>
            </w:r>
            <w:r>
              <w:t>_</w:t>
            </w:r>
            <w:r>
              <w:rPr>
                <w:lang w:eastAsia="zh-CN"/>
              </w:rPr>
              <w:t>FDD_FR1_G</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-118</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rPr>
                <w:rFonts w:cs="Arial"/>
                <w:lang w:val="sv-SE"/>
              </w:rPr>
            </w:pPr>
            <w:r>
              <w:rPr>
                <w:rFonts w:cs="Arial"/>
              </w:rPr>
              <w:t>-115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left w:val="single" w:color="auto" w:sz="4" w:space="0"/>
              <w:right w:val="single" w:color="auto" w:sz="6" w:space="0"/>
            </w:tcBorders>
            <w:shd w:val="clear" w:color="auto" w:fill="auto"/>
          </w:tcPr>
          <w:p>
            <w:pPr>
              <w:pStyle w:val="67"/>
            </w:pPr>
          </w:p>
        </w:tc>
        <w:tc>
          <w:tcPr>
            <w:tcW w:w="1055" w:type="dxa"/>
            <w:tcBorders>
              <w:left w:val="single" w:color="auto" w:sz="6" w:space="0"/>
              <w:right w:val="single" w:color="auto" w:sz="6" w:space="0"/>
            </w:tcBorders>
            <w:shd w:val="clear" w:color="auto" w:fill="auto"/>
          </w:tcPr>
          <w:p>
            <w:pPr>
              <w:pStyle w:val="67"/>
            </w:pPr>
          </w:p>
        </w:tc>
        <w:tc>
          <w:tcPr>
            <w:tcW w:w="833" w:type="dxa"/>
            <w:tcBorders>
              <w:left w:val="single" w:color="auto" w:sz="6" w:space="0"/>
              <w:right w:val="single" w:color="auto" w:sz="6" w:space="0"/>
            </w:tcBorders>
            <w:shd w:val="clear" w:color="auto" w:fill="auto"/>
          </w:tcPr>
          <w:p>
            <w:pPr>
              <w:pStyle w:val="67"/>
            </w:pP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rPr>
                <w:lang w:eastAsia="zh-CN"/>
              </w:rPr>
            </w:pPr>
            <w:r>
              <w:rPr>
                <w:lang w:eastAsia="zh-CN"/>
              </w:rPr>
              <w:t>NR</w:t>
            </w:r>
            <w:r>
              <w:t>_</w:t>
            </w:r>
            <w:r>
              <w:rPr>
                <w:lang w:eastAsia="zh-CN"/>
              </w:rPr>
              <w:t>FDD_FR1_H</w:t>
            </w:r>
          </w:p>
        </w:tc>
        <w:tc>
          <w:tcPr>
            <w:tcW w:w="1005" w:type="dxa"/>
            <w:tcBorders>
              <w:top w:val="single" w:color="auto" w:sz="6" w:space="0"/>
              <w:left w:val="single" w:color="auto" w:sz="4" w:space="0"/>
              <w:bottom w:val="single" w:color="auto" w:sz="6" w:space="0"/>
              <w:right w:val="single" w:color="auto" w:sz="6" w:space="0"/>
            </w:tcBorders>
            <w:shd w:val="clear" w:color="auto" w:fill="auto"/>
          </w:tcPr>
          <w:p>
            <w:pPr>
              <w:pStyle w:val="67"/>
            </w:pPr>
            <w:r>
              <w:t>-117.5</w:t>
            </w:r>
          </w:p>
        </w:tc>
        <w:tc>
          <w:tcPr>
            <w:tcW w:w="833" w:type="dxa"/>
            <w:tcBorders>
              <w:top w:val="single" w:color="auto" w:sz="6" w:space="0"/>
              <w:left w:val="single" w:color="auto" w:sz="4" w:space="0"/>
              <w:bottom w:val="single" w:color="auto" w:sz="6" w:space="0"/>
              <w:right w:val="single" w:color="auto" w:sz="6" w:space="0"/>
            </w:tcBorders>
            <w:shd w:val="clear" w:color="auto" w:fill="auto"/>
          </w:tcPr>
          <w:p>
            <w:pPr>
              <w:pStyle w:val="67"/>
              <w:rPr>
                <w:rFonts w:cs="Arial"/>
                <w:lang w:val="sv-SE"/>
              </w:rPr>
            </w:pPr>
            <w:r>
              <w:rPr>
                <w:rFonts w:cs="Arial"/>
              </w:rPr>
              <w:t>-114.5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-70</w:t>
            </w:r>
          </w:p>
        </w:tc>
      </w:tr>
      <w:tr>
        <w:tblPrEx>
          <w:tblCellMar>
            <w:top w:w="0" w:type="dxa"/>
            <w:left w:w="108" w:type="dxa"/>
            <w:bottom w:w="0" w:type="dxa"/>
            <w:right w:w="108" w:type="dxa"/>
          </w:tblCellMar>
        </w:tblPrEx>
        <w:trPr>
          <w:jc w:val="center"/>
        </w:trPr>
        <w:tc>
          <w:tcPr>
            <w:tcW w:w="1036" w:type="dxa"/>
            <w:tcBorders>
              <w:top w:val="single" w:color="auto" w:sz="6" w:space="0"/>
              <w:left w:val="single" w:color="auto" w:sz="4" w:space="0"/>
              <w:bottom w:val="single" w:color="auto" w:sz="6" w:space="0"/>
              <w:right w:val="single" w:color="auto" w:sz="6" w:space="0"/>
            </w:tcBorders>
            <w:shd w:val="clear" w:color="auto" w:fill="auto"/>
          </w:tcPr>
          <w:p>
            <w:pPr>
              <w:pStyle w:val="67"/>
            </w:pPr>
            <w:r>
              <w:rPr/>
              <w:sym w:font="Symbol" w:char="F0B1"/>
            </w:r>
            <w:r>
              <w:t>8</w:t>
            </w:r>
          </w:p>
        </w:tc>
        <w:tc>
          <w:tcPr>
            <w:tcW w:w="1055" w:type="dxa"/>
            <w:tcBorders>
              <w:top w:val="single" w:color="auto" w:sz="6" w:space="0"/>
              <w:left w:val="single" w:color="auto" w:sz="6" w:space="0"/>
              <w:bottom w:val="single" w:color="auto" w:sz="6" w:space="0"/>
              <w:right w:val="single" w:color="auto" w:sz="6" w:space="0"/>
            </w:tcBorders>
            <w:shd w:val="clear" w:color="auto" w:fill="auto"/>
          </w:tcPr>
          <w:p>
            <w:pPr>
              <w:pStyle w:val="67"/>
            </w:pPr>
            <w:r>
              <w:rPr/>
              <w:sym w:font="Symbol" w:char="F0B1"/>
            </w:r>
            <w:r>
              <w:t>11</w:t>
            </w:r>
          </w:p>
        </w:tc>
        <w:tc>
          <w:tcPr>
            <w:tcW w:w="833" w:type="dxa"/>
            <w:tcBorders>
              <w:top w:val="single" w:color="auto" w:sz="6" w:space="0"/>
              <w:left w:val="single" w:color="auto" w:sz="6" w:space="0"/>
              <w:bottom w:val="single" w:color="auto" w:sz="6" w:space="0"/>
              <w:right w:val="single" w:color="auto" w:sz="6" w:space="0"/>
            </w:tcBorders>
            <w:shd w:val="clear" w:color="auto" w:fill="auto"/>
          </w:tcPr>
          <w:p>
            <w:pPr>
              <w:pStyle w:val="67"/>
            </w:pPr>
            <w:r>
              <w:rPr/>
              <w:sym w:font="Symbol" w:char="F0B3"/>
            </w:r>
            <w:r>
              <w:t>-6</w:t>
            </w:r>
          </w:p>
        </w:tc>
        <w:tc>
          <w:tcPr>
            <w:tcW w:w="2530" w:type="dxa"/>
            <w:tcBorders>
              <w:top w:val="single" w:color="auto" w:sz="6" w:space="0"/>
              <w:left w:val="single" w:color="auto" w:sz="6" w:space="0"/>
              <w:bottom w:val="single" w:color="auto" w:sz="6" w:space="0"/>
              <w:right w:val="single" w:color="auto" w:sz="4" w:space="0"/>
            </w:tcBorders>
            <w:shd w:val="clear" w:color="auto" w:fill="auto"/>
          </w:tcPr>
          <w:p>
            <w:pPr>
              <w:pStyle w:val="67"/>
            </w:pPr>
            <w:r>
              <w:t>NR_FDD_FR1_A, NR_TDD_FR1_A,</w:t>
            </w:r>
          </w:p>
          <w:p>
            <w:pPr>
              <w:pStyle w:val="67"/>
            </w:pPr>
            <w:r>
              <w:rPr>
                <w:rFonts w:cs="Arial"/>
              </w:rPr>
              <w:t>NR_SDL_FR1_A</w:t>
            </w:r>
            <w:r>
              <w:t>,</w:t>
            </w:r>
          </w:p>
          <w:p>
            <w:pPr>
              <w:pStyle w:val="67"/>
            </w:pPr>
            <w:r>
              <w:t>NR_FDD_FR1_B, NR_TDD_FR1_C, NR_FDD_FR1_D, NR_TDD_FR1_D, NR_FDD_FR1_E, NR_TDD_FR1_E, NR_FDD_FR1_F,</w:t>
            </w:r>
          </w:p>
          <w:p>
            <w:pPr>
              <w:pStyle w:val="67"/>
              <w:rPr>
                <w:lang w:val="sv-FI"/>
              </w:rPr>
            </w:pPr>
            <w:r>
              <w:rPr>
                <w:lang w:val="sv-FI"/>
              </w:rPr>
              <w:t>NR_FDD_FR1_G, NR_FDD_FR1_H</w:t>
            </w:r>
          </w:p>
        </w:tc>
        <w:tc>
          <w:tcPr>
            <w:tcW w:w="1005" w:type="dxa"/>
            <w:tcBorders>
              <w:top w:val="single" w:color="auto" w:sz="6" w:space="0"/>
              <w:left w:val="single" w:color="auto" w:sz="4" w:space="0"/>
              <w:bottom w:val="single" w:color="auto" w:sz="4" w:space="0"/>
              <w:right w:val="single" w:color="auto" w:sz="6" w:space="0"/>
            </w:tcBorders>
            <w:shd w:val="clear" w:color="auto" w:fill="auto"/>
          </w:tcPr>
          <w:p>
            <w:pPr>
              <w:pStyle w:val="67"/>
            </w:pPr>
            <w:r>
              <w:t>N/A</w:t>
            </w:r>
          </w:p>
        </w:tc>
        <w:tc>
          <w:tcPr>
            <w:tcW w:w="833" w:type="dxa"/>
            <w:tcBorders>
              <w:top w:val="single" w:color="auto" w:sz="6" w:space="0"/>
              <w:left w:val="single" w:color="auto" w:sz="4" w:space="0"/>
              <w:bottom w:val="single" w:color="auto" w:sz="4" w:space="0"/>
              <w:right w:val="single" w:color="auto" w:sz="6" w:space="0"/>
            </w:tcBorders>
            <w:shd w:val="clear" w:color="auto" w:fill="auto"/>
          </w:tcPr>
          <w:p>
            <w:pPr>
              <w:pStyle w:val="67"/>
              <w:rPr>
                <w:lang w:eastAsia="zh-CN"/>
              </w:rPr>
            </w:pPr>
            <w:r>
              <w:rPr>
                <w:lang w:eastAsia="zh-CN"/>
              </w:rPr>
              <w:t>N/A</w:t>
            </w:r>
          </w:p>
        </w:tc>
        <w:tc>
          <w:tcPr>
            <w:tcW w:w="1440" w:type="dxa"/>
            <w:tcBorders>
              <w:top w:val="single" w:color="auto" w:sz="6" w:space="0"/>
              <w:left w:val="single" w:color="auto" w:sz="6" w:space="0"/>
              <w:bottom w:val="single" w:color="auto" w:sz="4" w:space="0"/>
              <w:right w:val="single" w:color="auto" w:sz="6" w:space="0"/>
            </w:tcBorders>
            <w:shd w:val="clear" w:color="auto" w:fill="auto"/>
          </w:tcPr>
          <w:p>
            <w:pPr>
              <w:pStyle w:val="67"/>
            </w:pPr>
            <w:r>
              <w:t>-70</w:t>
            </w:r>
          </w:p>
        </w:tc>
        <w:tc>
          <w:tcPr>
            <w:tcW w:w="1440" w:type="dxa"/>
            <w:tcBorders>
              <w:top w:val="single" w:color="auto" w:sz="6" w:space="0"/>
              <w:left w:val="single" w:color="auto" w:sz="6" w:space="0"/>
              <w:bottom w:val="single" w:color="auto" w:sz="4"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Io is assumed to have constant EPRE across the bandwidth.</w:t>
            </w:r>
          </w:p>
          <w:p>
            <w:pPr>
              <w:keepNext/>
              <w:keepLines/>
              <w:spacing w:after="0"/>
              <w:ind w:left="851" w:hanging="851"/>
            </w:pPr>
            <w:r>
              <w:rPr>
                <w:rFonts w:ascii="Arial" w:hAnsi="Arial"/>
                <w:sz w:val="18"/>
              </w:rPr>
              <w:t>NOTE 2:</w:t>
            </w:r>
            <w:r>
              <w:rPr>
                <w:rFonts w:ascii="Arial" w:hAnsi="Arial"/>
                <w:sz w:val="18"/>
              </w:rPr>
              <w:tab/>
            </w:r>
            <w:r>
              <w:rPr>
                <w:rFonts w:ascii="Arial" w:hAnsi="Arial"/>
                <w:sz w:val="18"/>
              </w:rPr>
              <w:t>NR operating band groups in FR1 are as defined in clause 3.5.2.</w:t>
            </w:r>
          </w:p>
        </w:tc>
      </w:tr>
    </w:tbl>
    <w:p>
      <w:pPr>
        <w:rPr>
          <w:rFonts w:hint="eastAsia" w:eastAsia="宋体"/>
          <w:sz w:val="22"/>
          <w:szCs w:val="22"/>
          <w:lang w:val="en-US" w:eastAsia="zh-CN"/>
        </w:rPr>
      </w:pPr>
    </w:p>
    <w:p>
      <w:pPr>
        <w:rPr>
          <w:rFonts w:hint="default" w:eastAsia="宋体"/>
          <w:sz w:val="22"/>
          <w:szCs w:val="22"/>
          <w:lang w:val="en-US" w:eastAsia="zh-CN"/>
        </w:rPr>
      </w:pPr>
    </w:p>
    <w:p>
      <w:pPr>
        <w:pStyle w:val="62"/>
      </w:pPr>
      <w:r>
        <w:t>Table 10.1.2.1.2-1: SS-RSRP Intra frequency relative accuracy in FR1</w:t>
      </w:r>
    </w:p>
    <w:tbl>
      <w:tblPr>
        <w:tblStyle w:val="17"/>
        <w:tblW w:w="10172" w:type="dxa"/>
        <w:jc w:val="center"/>
        <w:tblLayout w:type="autofit"/>
        <w:tblCellMar>
          <w:top w:w="0" w:type="dxa"/>
          <w:left w:w="108" w:type="dxa"/>
          <w:bottom w:w="0" w:type="dxa"/>
          <w:right w:w="108" w:type="dxa"/>
        </w:tblCellMar>
      </w:tblPr>
      <w:tblGrid>
        <w:gridCol w:w="1033"/>
        <w:gridCol w:w="1049"/>
        <w:gridCol w:w="807"/>
        <w:gridCol w:w="2349"/>
        <w:gridCol w:w="1027"/>
        <w:gridCol w:w="1027"/>
        <w:gridCol w:w="1440"/>
        <w:gridCol w:w="1440"/>
      </w:tblGrid>
      <w:tr>
        <w:tblPrEx>
          <w:tblCellMar>
            <w:top w:w="0" w:type="dxa"/>
            <w:left w:w="108" w:type="dxa"/>
            <w:bottom w:w="0" w:type="dxa"/>
            <w:right w:w="108" w:type="dxa"/>
          </w:tblCellMar>
        </w:tblPrEx>
        <w:trPr>
          <w:jc w:val="center"/>
        </w:trPr>
        <w:tc>
          <w:tcPr>
            <w:tcW w:w="2082" w:type="dxa"/>
            <w:gridSpan w:val="2"/>
            <w:tcBorders>
              <w:top w:val="single" w:color="auto" w:sz="4" w:space="0"/>
              <w:left w:val="single" w:color="auto" w:sz="4" w:space="0"/>
              <w:bottom w:val="single" w:color="auto" w:sz="6" w:space="0"/>
              <w:right w:val="single" w:color="auto" w:sz="6" w:space="0"/>
            </w:tcBorders>
            <w:shd w:val="clear" w:color="auto" w:fill="auto"/>
          </w:tcPr>
          <w:p>
            <w:pPr>
              <w:pStyle w:val="66"/>
            </w:pPr>
            <w:r>
              <w:t>Accuracy</w:t>
            </w:r>
          </w:p>
        </w:tc>
        <w:tc>
          <w:tcPr>
            <w:tcW w:w="8090" w:type="dxa"/>
            <w:gridSpan w:val="6"/>
            <w:tcBorders>
              <w:top w:val="single" w:color="auto" w:sz="4" w:space="0"/>
              <w:left w:val="single" w:color="auto" w:sz="6" w:space="0"/>
              <w:bottom w:val="single" w:color="auto" w:sz="6" w:space="0"/>
              <w:right w:val="single" w:color="auto" w:sz="4" w:space="0"/>
            </w:tcBorders>
            <w:shd w:val="clear" w:color="auto" w:fill="auto"/>
          </w:tcPr>
          <w:p>
            <w:pPr>
              <w:pStyle w:val="66"/>
            </w:pPr>
            <w:r>
              <w:t>Conditions</w:t>
            </w: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bottom w:val="single" w:color="auto" w:sz="6" w:space="0"/>
              <w:right w:val="single" w:color="auto" w:sz="6" w:space="0"/>
            </w:tcBorders>
            <w:shd w:val="clear" w:color="auto" w:fill="auto"/>
          </w:tcPr>
          <w:p>
            <w:pPr>
              <w:pStyle w:val="66"/>
            </w:pPr>
            <w:r>
              <w:t>Normal condition</w:t>
            </w:r>
          </w:p>
        </w:tc>
        <w:tc>
          <w:tcPr>
            <w:tcW w:w="1049" w:type="dxa"/>
            <w:tcBorders>
              <w:top w:val="single" w:color="auto" w:sz="6" w:space="0"/>
              <w:left w:val="single" w:color="auto" w:sz="6" w:space="0"/>
              <w:bottom w:val="single" w:color="auto" w:sz="4" w:space="0"/>
              <w:right w:val="single" w:color="auto" w:sz="6" w:space="0"/>
            </w:tcBorders>
            <w:shd w:val="clear" w:color="auto" w:fill="auto"/>
          </w:tcPr>
          <w:p>
            <w:pPr>
              <w:pStyle w:val="66"/>
            </w:pPr>
            <w:r>
              <w:t>Extreme condition</w:t>
            </w:r>
          </w:p>
        </w:tc>
        <w:tc>
          <w:tcPr>
            <w:tcW w:w="807" w:type="dxa"/>
            <w:tcBorders>
              <w:top w:val="single" w:color="auto" w:sz="4" w:space="0"/>
              <w:left w:val="single" w:color="auto" w:sz="6" w:space="0"/>
              <w:bottom w:val="single" w:color="auto" w:sz="4" w:space="0"/>
              <w:right w:val="single" w:color="auto" w:sz="6" w:space="0"/>
            </w:tcBorders>
            <w:shd w:val="clear" w:color="auto" w:fill="auto"/>
          </w:tcPr>
          <w:p>
            <w:pPr>
              <w:pStyle w:val="66"/>
            </w:pPr>
            <w:r>
              <w:t>SSB Ês/Iot</w:t>
            </w:r>
            <w:r>
              <w:rPr>
                <w:vertAlign w:val="superscript"/>
              </w:rPr>
              <w:t xml:space="preserve"> Note 2</w:t>
            </w:r>
          </w:p>
        </w:tc>
        <w:tc>
          <w:tcPr>
            <w:tcW w:w="7283" w:type="dxa"/>
            <w:gridSpan w:val="5"/>
            <w:tcBorders>
              <w:top w:val="single" w:color="auto" w:sz="6" w:space="0"/>
              <w:left w:val="single" w:color="auto" w:sz="6" w:space="0"/>
              <w:bottom w:val="single" w:color="auto" w:sz="6" w:space="0"/>
              <w:right w:val="single" w:color="auto" w:sz="4" w:space="0"/>
            </w:tcBorders>
            <w:shd w:val="clear" w:color="auto" w:fill="auto"/>
          </w:tcPr>
          <w:p>
            <w:pPr>
              <w:pStyle w:val="6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bottom w:val="single" w:color="auto" w:sz="6" w:space="0"/>
              <w:right w:val="single" w:color="auto" w:sz="6" w:space="0"/>
            </w:tcBorders>
            <w:shd w:val="clear" w:color="auto" w:fill="auto"/>
          </w:tcPr>
          <w:p>
            <w:pPr>
              <w:pStyle w:val="66"/>
            </w:pPr>
          </w:p>
        </w:tc>
        <w:tc>
          <w:tcPr>
            <w:tcW w:w="1049" w:type="dxa"/>
            <w:tcBorders>
              <w:top w:val="single" w:color="auto" w:sz="4" w:space="0"/>
              <w:left w:val="single" w:color="auto" w:sz="6" w:space="0"/>
              <w:bottom w:val="single" w:color="auto" w:sz="6" w:space="0"/>
              <w:right w:val="single" w:color="auto" w:sz="6" w:space="0"/>
            </w:tcBorders>
            <w:shd w:val="clear" w:color="auto" w:fill="auto"/>
          </w:tcPr>
          <w:p>
            <w:pPr>
              <w:pStyle w:val="66"/>
            </w:pPr>
          </w:p>
        </w:tc>
        <w:tc>
          <w:tcPr>
            <w:tcW w:w="807" w:type="dxa"/>
            <w:tcBorders>
              <w:top w:val="single" w:color="auto" w:sz="4" w:space="0"/>
              <w:left w:val="single" w:color="auto" w:sz="6" w:space="0"/>
              <w:bottom w:val="single" w:color="auto" w:sz="6" w:space="0"/>
              <w:right w:val="single" w:color="auto" w:sz="6" w:space="0"/>
            </w:tcBorders>
            <w:shd w:val="clear" w:color="auto" w:fill="auto"/>
          </w:tcPr>
          <w:p>
            <w:pPr>
              <w:pStyle w:val="66"/>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6"/>
            </w:pPr>
            <w:r>
              <w:t>NR operating band groups</w:t>
            </w:r>
            <w:r>
              <w:rPr>
                <w:vertAlign w:val="superscript"/>
              </w:rPr>
              <w:t xml:space="preserve"> Note 4</w:t>
            </w:r>
          </w:p>
        </w:tc>
        <w:tc>
          <w:tcPr>
            <w:tcW w:w="3494" w:type="dxa"/>
            <w:gridSpan w:val="3"/>
            <w:tcBorders>
              <w:top w:val="single" w:color="auto" w:sz="4" w:space="0"/>
              <w:left w:val="single" w:color="auto" w:sz="4" w:space="0"/>
              <w:bottom w:val="single" w:color="auto" w:sz="6" w:space="0"/>
              <w:right w:val="single" w:color="auto" w:sz="6" w:space="0"/>
            </w:tcBorders>
            <w:shd w:val="clear" w:color="auto" w:fill="auto"/>
          </w:tcPr>
          <w:p>
            <w:pPr>
              <w:pStyle w:val="66"/>
            </w:pPr>
            <w:r>
              <w:t>Minimum Io</w:t>
            </w:r>
          </w:p>
        </w:tc>
        <w:tc>
          <w:tcPr>
            <w:tcW w:w="1440" w:type="dxa"/>
            <w:tcBorders>
              <w:top w:val="single" w:color="auto" w:sz="4" w:space="0"/>
              <w:left w:val="single" w:color="auto" w:sz="6" w:space="0"/>
              <w:bottom w:val="single" w:color="auto" w:sz="6" w:space="0"/>
              <w:right w:val="single" w:color="auto" w:sz="4" w:space="0"/>
            </w:tcBorders>
            <w:shd w:val="clear" w:color="auto" w:fill="auto"/>
          </w:tcPr>
          <w:p>
            <w:pPr>
              <w:pStyle w:val="66"/>
            </w:pPr>
            <w:r>
              <w:t>Maximum Io</w:t>
            </w:r>
          </w:p>
        </w:tc>
      </w:tr>
      <w:tr>
        <w:tblPrEx>
          <w:tblCellMar>
            <w:top w:w="0" w:type="dxa"/>
            <w:left w:w="108" w:type="dxa"/>
            <w:bottom w:w="0" w:type="dxa"/>
            <w:right w:w="108" w:type="dxa"/>
          </w:tblCellMar>
        </w:tblPrEx>
        <w:trPr>
          <w:trHeight w:val="308" w:hRule="atLeast"/>
          <w:jc w:val="center"/>
        </w:trPr>
        <w:tc>
          <w:tcPr>
            <w:tcW w:w="1033" w:type="dxa"/>
            <w:tcBorders>
              <w:top w:val="single" w:color="auto" w:sz="6" w:space="0"/>
              <w:left w:val="single" w:color="auto" w:sz="4" w:space="0"/>
              <w:right w:val="single" w:color="auto" w:sz="6" w:space="0"/>
            </w:tcBorders>
            <w:shd w:val="clear" w:color="auto" w:fill="auto"/>
          </w:tcPr>
          <w:p>
            <w:pPr>
              <w:pStyle w:val="66"/>
            </w:pPr>
            <w:r>
              <w:t>dB</w:t>
            </w:r>
          </w:p>
        </w:tc>
        <w:tc>
          <w:tcPr>
            <w:tcW w:w="1049" w:type="dxa"/>
            <w:tcBorders>
              <w:top w:val="single" w:color="auto" w:sz="6" w:space="0"/>
              <w:left w:val="single" w:color="auto" w:sz="6" w:space="0"/>
              <w:right w:val="single" w:color="auto" w:sz="6" w:space="0"/>
            </w:tcBorders>
            <w:shd w:val="clear" w:color="auto" w:fill="auto"/>
          </w:tcPr>
          <w:p>
            <w:pPr>
              <w:pStyle w:val="66"/>
            </w:pPr>
            <w:r>
              <w:t>dB</w:t>
            </w:r>
          </w:p>
        </w:tc>
        <w:tc>
          <w:tcPr>
            <w:tcW w:w="807" w:type="dxa"/>
            <w:tcBorders>
              <w:top w:val="single" w:color="auto" w:sz="6" w:space="0"/>
              <w:left w:val="single" w:color="auto" w:sz="6" w:space="0"/>
              <w:right w:val="single" w:color="auto" w:sz="6" w:space="0"/>
            </w:tcBorders>
            <w:shd w:val="clear" w:color="auto" w:fill="auto"/>
          </w:tcPr>
          <w:p>
            <w:pPr>
              <w:pStyle w:val="66"/>
            </w:pPr>
            <w:r>
              <w:t>dB</w:t>
            </w:r>
          </w:p>
        </w:tc>
        <w:tc>
          <w:tcPr>
            <w:tcW w:w="2349" w:type="dxa"/>
            <w:tcBorders>
              <w:top w:val="single" w:color="auto" w:sz="6" w:space="0"/>
              <w:left w:val="single" w:color="auto" w:sz="6" w:space="0"/>
              <w:right w:val="single" w:color="auto" w:sz="4" w:space="0"/>
            </w:tcBorders>
            <w:shd w:val="clear" w:color="auto" w:fill="auto"/>
          </w:tcPr>
          <w:p>
            <w:pPr>
              <w:pStyle w:val="66"/>
            </w:pPr>
          </w:p>
        </w:tc>
        <w:tc>
          <w:tcPr>
            <w:tcW w:w="2054" w:type="dxa"/>
            <w:gridSpan w:val="2"/>
            <w:tcBorders>
              <w:top w:val="single" w:color="auto" w:sz="6" w:space="0"/>
              <w:left w:val="single" w:color="auto" w:sz="4" w:space="0"/>
              <w:bottom w:val="single" w:color="auto" w:sz="6" w:space="0"/>
              <w:right w:val="single" w:color="auto" w:sz="6" w:space="0"/>
            </w:tcBorders>
            <w:shd w:val="clear" w:color="auto" w:fill="auto"/>
          </w:tcPr>
          <w:p>
            <w:pPr>
              <w:pStyle w:val="66"/>
            </w:pPr>
            <w:r>
              <w:rPr>
                <w:rFonts w:cs="Arial"/>
              </w:rPr>
              <w:t xml:space="preserve">dBm / </w:t>
            </w:r>
            <w:r>
              <w:t>SCS</w:t>
            </w:r>
            <w:r>
              <w:rPr>
                <w:vertAlign w:val="subscript"/>
              </w:rPr>
              <w:t>SSB</w:t>
            </w:r>
          </w:p>
        </w:tc>
        <w:tc>
          <w:tcPr>
            <w:tcW w:w="1440" w:type="dxa"/>
            <w:tcBorders>
              <w:top w:val="single" w:color="auto" w:sz="6" w:space="0"/>
              <w:left w:val="single" w:color="auto" w:sz="6" w:space="0"/>
              <w:right w:val="single" w:color="auto" w:sz="6" w:space="0"/>
            </w:tcBorders>
            <w:shd w:val="clear" w:color="auto" w:fill="auto"/>
          </w:tcPr>
          <w:p>
            <w:pPr>
              <w:pStyle w:val="66"/>
            </w:pPr>
            <w:r>
              <w:t>dBm/BW</w:t>
            </w:r>
            <w:r>
              <w:rPr>
                <w:vertAlign w:val="subscript"/>
              </w:rPr>
              <w:t>Channel</w:t>
            </w:r>
          </w:p>
        </w:tc>
        <w:tc>
          <w:tcPr>
            <w:tcW w:w="1440" w:type="dxa"/>
            <w:tcBorders>
              <w:top w:val="single" w:color="auto" w:sz="6" w:space="0"/>
              <w:left w:val="single" w:color="auto" w:sz="6" w:space="0"/>
              <w:right w:val="single" w:color="auto" w:sz="4" w:space="0"/>
            </w:tcBorders>
            <w:shd w:val="clear" w:color="auto" w:fill="auto"/>
          </w:tcPr>
          <w:p>
            <w:pPr>
              <w:pStyle w:val="66"/>
            </w:pPr>
            <w:r>
              <w:t>dBm/BW</w:t>
            </w:r>
            <w:r>
              <w:rPr>
                <w:vertAlign w:val="subscript"/>
              </w:rPr>
              <w:t>Channel</w:t>
            </w:r>
          </w:p>
        </w:tc>
      </w:tr>
      <w:tr>
        <w:tblPrEx>
          <w:tblCellMar>
            <w:top w:w="0" w:type="dxa"/>
            <w:left w:w="108" w:type="dxa"/>
            <w:bottom w:w="0" w:type="dxa"/>
            <w:right w:w="108" w:type="dxa"/>
          </w:tblCellMar>
        </w:tblPrEx>
        <w:trPr>
          <w:trHeight w:val="307" w:hRule="atLeast"/>
          <w:jc w:val="center"/>
        </w:trPr>
        <w:tc>
          <w:tcPr>
            <w:tcW w:w="1033" w:type="dxa"/>
            <w:tcBorders>
              <w:left w:val="single" w:color="auto" w:sz="4" w:space="0"/>
              <w:bottom w:val="single" w:color="auto" w:sz="6" w:space="0"/>
              <w:right w:val="single" w:color="auto" w:sz="6" w:space="0"/>
            </w:tcBorders>
            <w:shd w:val="clear" w:color="auto" w:fill="auto"/>
          </w:tcPr>
          <w:p>
            <w:pPr>
              <w:pStyle w:val="66"/>
            </w:pPr>
          </w:p>
        </w:tc>
        <w:tc>
          <w:tcPr>
            <w:tcW w:w="1049" w:type="dxa"/>
            <w:tcBorders>
              <w:left w:val="single" w:color="auto" w:sz="6" w:space="0"/>
              <w:bottom w:val="single" w:color="auto" w:sz="6" w:space="0"/>
              <w:right w:val="single" w:color="auto" w:sz="6" w:space="0"/>
            </w:tcBorders>
            <w:shd w:val="clear" w:color="auto" w:fill="auto"/>
          </w:tcPr>
          <w:p>
            <w:pPr>
              <w:pStyle w:val="66"/>
            </w:pPr>
          </w:p>
        </w:tc>
        <w:tc>
          <w:tcPr>
            <w:tcW w:w="807" w:type="dxa"/>
            <w:tcBorders>
              <w:left w:val="single" w:color="auto" w:sz="6" w:space="0"/>
              <w:bottom w:val="single" w:color="auto" w:sz="6" w:space="0"/>
              <w:right w:val="single" w:color="auto" w:sz="6" w:space="0"/>
            </w:tcBorders>
            <w:shd w:val="clear" w:color="auto" w:fill="auto"/>
          </w:tcPr>
          <w:p>
            <w:pPr>
              <w:pStyle w:val="66"/>
            </w:pPr>
          </w:p>
        </w:tc>
        <w:tc>
          <w:tcPr>
            <w:tcW w:w="2349" w:type="dxa"/>
            <w:tcBorders>
              <w:left w:val="single" w:color="auto" w:sz="6" w:space="0"/>
              <w:bottom w:val="single" w:color="auto" w:sz="6" w:space="0"/>
              <w:right w:val="single" w:color="auto" w:sz="4" w:space="0"/>
            </w:tcBorders>
            <w:shd w:val="clear" w:color="auto" w:fill="auto"/>
          </w:tcPr>
          <w:p>
            <w:pPr>
              <w:pStyle w:val="66"/>
            </w:pP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6"/>
              <w:rPr>
                <w:rFonts w:cs="Arial"/>
              </w:rPr>
            </w:pPr>
            <w:r>
              <w:t>SCS</w:t>
            </w:r>
            <w:r>
              <w:rPr>
                <w:vertAlign w:val="subscript"/>
              </w:rPr>
              <w:t>SSB</w:t>
            </w:r>
            <w:r>
              <w:rPr>
                <w:rFonts w:cs="Arial"/>
              </w:rPr>
              <w:t xml:space="preserve"> = 15 kHz</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6"/>
              <w:rPr>
                <w:rFonts w:cs="Arial"/>
              </w:rPr>
            </w:pPr>
            <w:r>
              <w:t>SCS</w:t>
            </w:r>
            <w:r>
              <w:rPr>
                <w:vertAlign w:val="subscript"/>
              </w:rPr>
              <w:t>SSB</w:t>
            </w:r>
            <w:r>
              <w:rPr>
                <w:rFonts w:cs="Arial"/>
              </w:rPr>
              <w:t xml:space="preserve"> = 30 kHz</w:t>
            </w:r>
          </w:p>
        </w:tc>
        <w:tc>
          <w:tcPr>
            <w:tcW w:w="1440" w:type="dxa"/>
            <w:tcBorders>
              <w:left w:val="single" w:color="auto" w:sz="6" w:space="0"/>
              <w:bottom w:val="single" w:color="auto" w:sz="6" w:space="0"/>
              <w:right w:val="single" w:color="auto" w:sz="6" w:space="0"/>
            </w:tcBorders>
            <w:shd w:val="clear" w:color="auto" w:fill="auto"/>
          </w:tcPr>
          <w:p>
            <w:pPr>
              <w:pStyle w:val="66"/>
            </w:pPr>
          </w:p>
        </w:tc>
        <w:tc>
          <w:tcPr>
            <w:tcW w:w="1440" w:type="dxa"/>
            <w:tcBorders>
              <w:left w:val="single" w:color="auto" w:sz="6" w:space="0"/>
              <w:bottom w:val="single" w:color="auto" w:sz="6" w:space="0"/>
              <w:right w:val="single" w:color="auto" w:sz="4" w:space="0"/>
            </w:tcBorders>
            <w:shd w:val="clear" w:color="auto" w:fill="auto"/>
          </w:tcPr>
          <w:p>
            <w:pPr>
              <w:pStyle w:val="66"/>
            </w:pP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right w:val="single" w:color="auto" w:sz="6" w:space="0"/>
            </w:tcBorders>
            <w:shd w:val="clear" w:color="auto" w:fill="auto"/>
          </w:tcPr>
          <w:p>
            <w:pPr>
              <w:pStyle w:val="67"/>
            </w:pPr>
          </w:p>
        </w:tc>
        <w:tc>
          <w:tcPr>
            <w:tcW w:w="1049" w:type="dxa"/>
            <w:tcBorders>
              <w:top w:val="single" w:color="auto" w:sz="6" w:space="0"/>
              <w:left w:val="single" w:color="auto" w:sz="6" w:space="0"/>
              <w:right w:val="single" w:color="auto" w:sz="6" w:space="0"/>
            </w:tcBorders>
            <w:shd w:val="clear" w:color="auto" w:fill="auto"/>
          </w:tcPr>
          <w:p>
            <w:pPr>
              <w:pStyle w:val="67"/>
            </w:pPr>
          </w:p>
        </w:tc>
        <w:tc>
          <w:tcPr>
            <w:tcW w:w="807" w:type="dxa"/>
            <w:tcBorders>
              <w:top w:val="single" w:color="auto" w:sz="6" w:space="0"/>
              <w:left w:val="single" w:color="auto" w:sz="6" w:space="0"/>
              <w:right w:val="single" w:color="auto" w:sz="6" w:space="0"/>
            </w:tcBorders>
            <w:shd w:val="clear" w:color="auto" w:fill="auto"/>
          </w:tcPr>
          <w:p>
            <w:pPr>
              <w:pStyle w:val="67"/>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rPr>
                <w:rFonts w:cs="Arial"/>
                <w:szCs w:val="18"/>
              </w:rPr>
            </w:pPr>
            <w:r>
              <w:rPr>
                <w:rFonts w:cs="Arial"/>
                <w:szCs w:val="18"/>
              </w:rPr>
              <w:t>NR_FDD_FR1_A, NR_TDD_FR1_A,</w:t>
            </w:r>
          </w:p>
          <w:p>
            <w:pPr>
              <w:pStyle w:val="67"/>
              <w:rPr>
                <w:rFonts w:cs="Arial"/>
                <w:szCs w:val="18"/>
              </w:rPr>
            </w:pPr>
            <w:r>
              <w:rPr>
                <w:rFonts w:cs="Arial"/>
                <w:szCs w:val="18"/>
              </w:rPr>
              <w:t>NR_SDL_FR1_A</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-121</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-118</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pStyle w:val="67"/>
            </w:pPr>
          </w:p>
        </w:tc>
        <w:tc>
          <w:tcPr>
            <w:tcW w:w="1049" w:type="dxa"/>
            <w:tcBorders>
              <w:left w:val="single" w:color="auto" w:sz="6" w:space="0"/>
              <w:right w:val="single" w:color="auto" w:sz="6" w:space="0"/>
            </w:tcBorders>
            <w:shd w:val="clear" w:color="auto" w:fill="auto"/>
          </w:tcPr>
          <w:p>
            <w:pPr>
              <w:pStyle w:val="67"/>
            </w:pPr>
          </w:p>
        </w:tc>
        <w:tc>
          <w:tcPr>
            <w:tcW w:w="807" w:type="dxa"/>
            <w:tcBorders>
              <w:left w:val="single" w:color="auto" w:sz="6" w:space="0"/>
              <w:right w:val="single" w:color="auto" w:sz="6" w:space="0"/>
            </w:tcBorders>
            <w:shd w:val="clear" w:color="auto" w:fill="auto"/>
          </w:tcPr>
          <w:p>
            <w:pPr>
              <w:pStyle w:val="67"/>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pPr>
            <w:r>
              <w:t>NR_FDD_FR1_B</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-120.5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rPr>
                <w:lang w:val="sv-SE"/>
              </w:rPr>
            </w:pPr>
            <w:r>
              <w:t>-117.5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rPr>
                <w:lang w:eastAsia="ja-JP"/>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pStyle w:val="67"/>
            </w:pPr>
          </w:p>
        </w:tc>
        <w:tc>
          <w:tcPr>
            <w:tcW w:w="1049" w:type="dxa"/>
            <w:tcBorders>
              <w:left w:val="single" w:color="auto" w:sz="6" w:space="0"/>
              <w:right w:val="single" w:color="auto" w:sz="6" w:space="0"/>
            </w:tcBorders>
            <w:shd w:val="clear" w:color="auto" w:fill="auto"/>
          </w:tcPr>
          <w:p>
            <w:pPr>
              <w:pStyle w:val="67"/>
            </w:pPr>
          </w:p>
        </w:tc>
        <w:tc>
          <w:tcPr>
            <w:tcW w:w="807" w:type="dxa"/>
            <w:tcBorders>
              <w:left w:val="single" w:color="auto" w:sz="6" w:space="0"/>
              <w:right w:val="single" w:color="auto" w:sz="6" w:space="0"/>
            </w:tcBorders>
            <w:shd w:val="clear" w:color="auto" w:fill="auto"/>
          </w:tcPr>
          <w:p>
            <w:pPr>
              <w:pStyle w:val="67"/>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pPr>
            <w:r>
              <w:t>NR_TDD_FR1_C</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-120</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rPr>
                <w:lang w:val="sv-SE"/>
              </w:rPr>
            </w:pPr>
            <w:r>
              <w:t>-117</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pStyle w:val="67"/>
            </w:pPr>
            <w:r>
              <w:rPr/>
              <w:sym w:font="Symbol" w:char="F0B1"/>
            </w:r>
            <w:r>
              <w:t>2</w:t>
            </w:r>
          </w:p>
        </w:tc>
        <w:tc>
          <w:tcPr>
            <w:tcW w:w="1049" w:type="dxa"/>
            <w:tcBorders>
              <w:left w:val="single" w:color="auto" w:sz="6" w:space="0"/>
              <w:right w:val="single" w:color="auto" w:sz="6" w:space="0"/>
            </w:tcBorders>
            <w:shd w:val="clear" w:color="auto" w:fill="auto"/>
          </w:tcPr>
          <w:p>
            <w:pPr>
              <w:pStyle w:val="67"/>
            </w:pPr>
            <w:r>
              <w:rPr/>
              <w:sym w:font="Symbol" w:char="F0B1"/>
            </w:r>
            <w:r>
              <w:t>3</w:t>
            </w:r>
          </w:p>
        </w:tc>
        <w:tc>
          <w:tcPr>
            <w:tcW w:w="807" w:type="dxa"/>
            <w:tcBorders>
              <w:left w:val="single" w:color="auto" w:sz="6" w:space="0"/>
              <w:right w:val="single" w:color="auto" w:sz="6" w:space="0"/>
            </w:tcBorders>
            <w:shd w:val="clear" w:color="auto" w:fill="auto"/>
          </w:tcPr>
          <w:p>
            <w:pPr>
              <w:pStyle w:val="67"/>
            </w:pPr>
            <w:r>
              <w:rPr/>
              <w:sym w:font="Symbol" w:char="F0B3"/>
            </w:r>
            <w:r>
              <w:t>-3</w:t>
            </w: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rPr>
                <w:lang w:val="sv-SE"/>
              </w:rPr>
            </w:pPr>
            <w:r>
              <w:rPr>
                <w:lang w:val="sv-SE"/>
              </w:rPr>
              <w:t>NR_FDD_FR1_D, NR_TDD_FR1_D</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-119.5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-116.5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pStyle w:val="67"/>
            </w:pPr>
          </w:p>
        </w:tc>
        <w:tc>
          <w:tcPr>
            <w:tcW w:w="1049" w:type="dxa"/>
            <w:tcBorders>
              <w:left w:val="single" w:color="auto" w:sz="6" w:space="0"/>
              <w:right w:val="single" w:color="auto" w:sz="6" w:space="0"/>
            </w:tcBorders>
            <w:shd w:val="clear" w:color="auto" w:fill="auto"/>
          </w:tcPr>
          <w:p>
            <w:pPr>
              <w:pStyle w:val="67"/>
            </w:pPr>
          </w:p>
        </w:tc>
        <w:tc>
          <w:tcPr>
            <w:tcW w:w="807" w:type="dxa"/>
            <w:tcBorders>
              <w:left w:val="single" w:color="auto" w:sz="6" w:space="0"/>
              <w:right w:val="single" w:color="auto" w:sz="6" w:space="0"/>
            </w:tcBorders>
            <w:shd w:val="clear" w:color="auto" w:fill="auto"/>
          </w:tcPr>
          <w:p>
            <w:pPr>
              <w:pStyle w:val="67"/>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rPr>
                <w:lang w:val="sv-SE"/>
              </w:rPr>
            </w:pPr>
            <w:r>
              <w:rPr>
                <w:lang w:val="sv-SE"/>
              </w:rPr>
              <w:t>NR_FDD_FR1_E, NR_TDD_FR1_E</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-119</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rPr>
                <w:lang w:val="sv-SE"/>
              </w:rPr>
            </w:pPr>
            <w:r>
              <w:t>-116</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pStyle w:val="67"/>
            </w:pPr>
          </w:p>
        </w:tc>
        <w:tc>
          <w:tcPr>
            <w:tcW w:w="1049" w:type="dxa"/>
            <w:tcBorders>
              <w:left w:val="single" w:color="auto" w:sz="6" w:space="0"/>
              <w:right w:val="single" w:color="auto" w:sz="6" w:space="0"/>
            </w:tcBorders>
            <w:shd w:val="clear" w:color="auto" w:fill="auto"/>
          </w:tcPr>
          <w:p>
            <w:pPr>
              <w:pStyle w:val="67"/>
            </w:pPr>
          </w:p>
        </w:tc>
        <w:tc>
          <w:tcPr>
            <w:tcW w:w="807" w:type="dxa"/>
            <w:tcBorders>
              <w:left w:val="single" w:color="auto" w:sz="6" w:space="0"/>
              <w:right w:val="single" w:color="auto" w:sz="6" w:space="0"/>
            </w:tcBorders>
            <w:shd w:val="clear" w:color="auto" w:fill="auto"/>
          </w:tcPr>
          <w:p>
            <w:pPr>
              <w:pStyle w:val="67"/>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rPr>
                <w:lang w:val="sv-SE"/>
              </w:rPr>
            </w:pPr>
            <w:r>
              <w:rPr>
                <w:lang w:eastAsia="zh-CN"/>
              </w:rPr>
              <w:t>NR_FDD_FR1_F</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-118.5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rPr>
                <w:rFonts w:cs="Arial"/>
              </w:rPr>
              <w:t>-115.5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pStyle w:val="67"/>
            </w:pPr>
          </w:p>
        </w:tc>
        <w:tc>
          <w:tcPr>
            <w:tcW w:w="1049" w:type="dxa"/>
            <w:tcBorders>
              <w:left w:val="single" w:color="auto" w:sz="6" w:space="0"/>
              <w:right w:val="single" w:color="auto" w:sz="6" w:space="0"/>
            </w:tcBorders>
            <w:shd w:val="clear" w:color="auto" w:fill="auto"/>
          </w:tcPr>
          <w:p>
            <w:pPr>
              <w:pStyle w:val="67"/>
            </w:pPr>
          </w:p>
        </w:tc>
        <w:tc>
          <w:tcPr>
            <w:tcW w:w="807" w:type="dxa"/>
            <w:tcBorders>
              <w:left w:val="single" w:color="auto" w:sz="6" w:space="0"/>
              <w:right w:val="single" w:color="auto" w:sz="6" w:space="0"/>
            </w:tcBorders>
            <w:shd w:val="clear" w:color="auto" w:fill="auto"/>
          </w:tcPr>
          <w:p>
            <w:pPr>
              <w:pStyle w:val="67"/>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rPr>
                <w:lang w:eastAsia="zh-CN"/>
              </w:rPr>
            </w:pPr>
            <w:r>
              <w:rPr>
                <w:lang w:eastAsia="zh-CN"/>
              </w:rPr>
              <w:t>NR</w:t>
            </w:r>
            <w:r>
              <w:t>_</w:t>
            </w:r>
            <w:r>
              <w:rPr>
                <w:lang w:eastAsia="zh-CN"/>
              </w:rPr>
              <w:t>FDD_FR1_G</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-118</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rPr>
                <w:rFonts w:cs="Arial"/>
                <w:lang w:val="sv-SE"/>
              </w:rPr>
            </w:pPr>
            <w:r>
              <w:rPr>
                <w:rFonts w:cs="Arial"/>
              </w:rPr>
              <w:t>-115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left w:val="single" w:color="auto" w:sz="4" w:space="0"/>
              <w:right w:val="single" w:color="auto" w:sz="6" w:space="0"/>
            </w:tcBorders>
            <w:shd w:val="clear" w:color="auto" w:fill="auto"/>
          </w:tcPr>
          <w:p>
            <w:pPr>
              <w:pStyle w:val="67"/>
            </w:pPr>
          </w:p>
        </w:tc>
        <w:tc>
          <w:tcPr>
            <w:tcW w:w="1049" w:type="dxa"/>
            <w:tcBorders>
              <w:left w:val="single" w:color="auto" w:sz="6" w:space="0"/>
              <w:right w:val="single" w:color="auto" w:sz="6" w:space="0"/>
            </w:tcBorders>
            <w:shd w:val="clear" w:color="auto" w:fill="auto"/>
          </w:tcPr>
          <w:p>
            <w:pPr>
              <w:pStyle w:val="67"/>
            </w:pPr>
          </w:p>
        </w:tc>
        <w:tc>
          <w:tcPr>
            <w:tcW w:w="807" w:type="dxa"/>
            <w:tcBorders>
              <w:left w:val="single" w:color="auto" w:sz="6" w:space="0"/>
              <w:right w:val="single" w:color="auto" w:sz="6" w:space="0"/>
            </w:tcBorders>
            <w:shd w:val="clear" w:color="auto" w:fill="auto"/>
          </w:tcPr>
          <w:p>
            <w:pPr>
              <w:pStyle w:val="67"/>
            </w:pP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rPr>
                <w:lang w:eastAsia="zh-CN"/>
              </w:rPr>
            </w:pPr>
            <w:r>
              <w:rPr>
                <w:lang w:eastAsia="zh-CN"/>
              </w:rPr>
              <w:t>NR</w:t>
            </w:r>
            <w:r>
              <w:t>_</w:t>
            </w:r>
            <w:r>
              <w:rPr>
                <w:lang w:eastAsia="zh-CN"/>
              </w:rPr>
              <w:t>FDD_FR1_H</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pPr>
            <w:r>
              <w:t>-117.5</w:t>
            </w:r>
          </w:p>
        </w:tc>
        <w:tc>
          <w:tcPr>
            <w:tcW w:w="1027" w:type="dxa"/>
            <w:tcBorders>
              <w:top w:val="single" w:color="auto" w:sz="6" w:space="0"/>
              <w:left w:val="single" w:color="auto" w:sz="4" w:space="0"/>
              <w:bottom w:val="single" w:color="auto" w:sz="6" w:space="0"/>
              <w:right w:val="single" w:color="auto" w:sz="6" w:space="0"/>
            </w:tcBorders>
            <w:shd w:val="clear" w:color="auto" w:fill="auto"/>
          </w:tcPr>
          <w:p>
            <w:pPr>
              <w:pStyle w:val="67"/>
              <w:rPr>
                <w:rFonts w:cs="Arial"/>
                <w:lang w:val="sv-SE"/>
              </w:rPr>
            </w:pPr>
            <w:r>
              <w:rPr>
                <w:rFonts w:cs="Arial"/>
              </w:rPr>
              <w:t>-114.5</w:t>
            </w:r>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67"/>
            </w:pPr>
            <w:r>
              <w:t>-50</w:t>
            </w:r>
          </w:p>
        </w:tc>
      </w:tr>
      <w:tr>
        <w:tblPrEx>
          <w:tblCellMar>
            <w:top w:w="0" w:type="dxa"/>
            <w:left w:w="108" w:type="dxa"/>
            <w:bottom w:w="0" w:type="dxa"/>
            <w:right w:w="108" w:type="dxa"/>
          </w:tblCellMar>
        </w:tblPrEx>
        <w:trPr>
          <w:jc w:val="center"/>
        </w:trPr>
        <w:tc>
          <w:tcPr>
            <w:tcW w:w="1033" w:type="dxa"/>
            <w:tcBorders>
              <w:top w:val="single" w:color="auto" w:sz="6" w:space="0"/>
              <w:left w:val="single" w:color="auto" w:sz="4" w:space="0"/>
              <w:bottom w:val="single" w:color="auto" w:sz="6" w:space="0"/>
              <w:right w:val="single" w:color="auto" w:sz="6" w:space="0"/>
            </w:tcBorders>
            <w:shd w:val="clear" w:color="auto" w:fill="auto"/>
          </w:tcPr>
          <w:p>
            <w:pPr>
              <w:pStyle w:val="67"/>
            </w:pPr>
            <w:r>
              <w:rPr/>
              <w:sym w:font="Symbol" w:char="F0B1"/>
            </w:r>
            <w:r>
              <w:t>3</w:t>
            </w:r>
          </w:p>
        </w:tc>
        <w:tc>
          <w:tcPr>
            <w:tcW w:w="1049" w:type="dxa"/>
            <w:tcBorders>
              <w:top w:val="single" w:color="auto" w:sz="6" w:space="0"/>
              <w:left w:val="single" w:color="auto" w:sz="6" w:space="0"/>
              <w:bottom w:val="single" w:color="auto" w:sz="6" w:space="0"/>
              <w:right w:val="single" w:color="auto" w:sz="6" w:space="0"/>
            </w:tcBorders>
            <w:shd w:val="clear" w:color="auto" w:fill="auto"/>
          </w:tcPr>
          <w:p>
            <w:pPr>
              <w:pStyle w:val="67"/>
            </w:pPr>
            <w:r>
              <w:rPr/>
              <w:sym w:font="Symbol" w:char="F0B1"/>
            </w:r>
            <w:r>
              <w:t>3</w:t>
            </w:r>
          </w:p>
        </w:tc>
        <w:tc>
          <w:tcPr>
            <w:tcW w:w="807" w:type="dxa"/>
            <w:tcBorders>
              <w:top w:val="single" w:color="auto" w:sz="6" w:space="0"/>
              <w:left w:val="single" w:color="auto" w:sz="6" w:space="0"/>
              <w:bottom w:val="single" w:color="auto" w:sz="6" w:space="0"/>
              <w:right w:val="single" w:color="auto" w:sz="6" w:space="0"/>
            </w:tcBorders>
            <w:shd w:val="clear" w:color="auto" w:fill="auto"/>
          </w:tcPr>
          <w:p>
            <w:pPr>
              <w:pStyle w:val="67"/>
            </w:pPr>
            <w:r>
              <w:rPr/>
              <w:sym w:font="Symbol" w:char="F0B3"/>
            </w:r>
            <w:r>
              <w:t>-6</w:t>
            </w:r>
          </w:p>
        </w:tc>
        <w:tc>
          <w:tcPr>
            <w:tcW w:w="2349" w:type="dxa"/>
            <w:tcBorders>
              <w:top w:val="single" w:color="auto" w:sz="6" w:space="0"/>
              <w:left w:val="single" w:color="auto" w:sz="6" w:space="0"/>
              <w:bottom w:val="single" w:color="auto" w:sz="6" w:space="0"/>
              <w:right w:val="single" w:color="auto" w:sz="4" w:space="0"/>
            </w:tcBorders>
            <w:shd w:val="clear" w:color="auto" w:fill="auto"/>
          </w:tcPr>
          <w:p>
            <w:pPr>
              <w:pStyle w:val="67"/>
            </w:pPr>
            <w:r>
              <w:t>Note 3</w:t>
            </w:r>
          </w:p>
        </w:tc>
        <w:tc>
          <w:tcPr>
            <w:tcW w:w="1027" w:type="dxa"/>
            <w:tcBorders>
              <w:top w:val="single" w:color="auto" w:sz="6" w:space="0"/>
              <w:left w:val="single" w:color="auto" w:sz="4" w:space="0"/>
              <w:bottom w:val="single" w:color="auto" w:sz="4" w:space="0"/>
              <w:right w:val="single" w:color="auto" w:sz="6" w:space="0"/>
            </w:tcBorders>
            <w:shd w:val="clear" w:color="auto" w:fill="auto"/>
          </w:tcPr>
          <w:p>
            <w:pPr>
              <w:pStyle w:val="67"/>
            </w:pPr>
            <w:r>
              <w:t>Note 3</w:t>
            </w:r>
          </w:p>
        </w:tc>
        <w:tc>
          <w:tcPr>
            <w:tcW w:w="1027" w:type="dxa"/>
            <w:tcBorders>
              <w:top w:val="single" w:color="auto" w:sz="6" w:space="0"/>
              <w:left w:val="single" w:color="auto" w:sz="4" w:space="0"/>
              <w:bottom w:val="single" w:color="auto" w:sz="4" w:space="0"/>
              <w:right w:val="single" w:color="auto" w:sz="6" w:space="0"/>
            </w:tcBorders>
            <w:shd w:val="clear" w:color="auto" w:fill="auto"/>
          </w:tcPr>
          <w:p>
            <w:pPr>
              <w:pStyle w:val="67"/>
            </w:pPr>
            <w:r>
              <w:t>Note 3</w:t>
            </w:r>
          </w:p>
        </w:tc>
        <w:tc>
          <w:tcPr>
            <w:tcW w:w="1440" w:type="dxa"/>
            <w:tcBorders>
              <w:top w:val="single" w:color="auto" w:sz="6" w:space="0"/>
              <w:left w:val="single" w:color="auto" w:sz="6" w:space="0"/>
              <w:bottom w:val="single" w:color="auto" w:sz="4" w:space="0"/>
              <w:right w:val="single" w:color="auto" w:sz="6" w:space="0"/>
            </w:tcBorders>
            <w:shd w:val="clear" w:color="auto" w:fill="auto"/>
          </w:tcPr>
          <w:p>
            <w:pPr>
              <w:pStyle w:val="67"/>
            </w:pPr>
            <w:r>
              <w:t>N/A</w:t>
            </w:r>
          </w:p>
        </w:tc>
        <w:tc>
          <w:tcPr>
            <w:tcW w:w="1440" w:type="dxa"/>
            <w:tcBorders>
              <w:top w:val="single" w:color="auto" w:sz="6" w:space="0"/>
              <w:left w:val="single" w:color="auto" w:sz="6" w:space="0"/>
              <w:bottom w:val="single" w:color="auto" w:sz="4" w:space="0"/>
              <w:right w:val="single" w:color="auto" w:sz="4" w:space="0"/>
            </w:tcBorders>
            <w:shd w:val="clear" w:color="auto" w:fill="auto"/>
          </w:tcPr>
          <w:p>
            <w:pPr>
              <w:pStyle w:val="67"/>
            </w:pPr>
            <w:r>
              <w:t>Note 3</w:t>
            </w:r>
          </w:p>
        </w:tc>
      </w:tr>
      <w:tr>
        <w:tblPrEx>
          <w:tblCellMar>
            <w:top w:w="0" w:type="dxa"/>
            <w:left w:w="108" w:type="dxa"/>
            <w:bottom w:w="0" w:type="dxa"/>
            <w:right w:w="108" w:type="dxa"/>
          </w:tblCellMar>
        </w:tblPrEx>
        <w:trPr>
          <w:jc w:val="center"/>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pPr>
              <w:pStyle w:val="68"/>
            </w:pPr>
            <w:r>
              <w:t>NOTE 1:</w:t>
            </w:r>
            <w:r>
              <w:tab/>
            </w:r>
            <w:r>
              <w:t>Io is assumed to have constant EPRE across the bandwidth.</w:t>
            </w:r>
          </w:p>
          <w:p>
            <w:pPr>
              <w:pStyle w:val="68"/>
            </w:pPr>
            <w:r>
              <w:t>NOTE 2:</w:t>
            </w:r>
            <w:r>
              <w:tab/>
            </w:r>
            <w:r>
              <w:t>The parameter SSB Ês/Iot is the minimum SSB Ês/Iot of the pair of cells to which the requirement applies.</w:t>
            </w:r>
          </w:p>
          <w:p>
            <w:pPr>
              <w:pStyle w:val="68"/>
            </w:pPr>
            <w:r>
              <w:t>NOTE 3:</w:t>
            </w:r>
            <w:r>
              <w:tab/>
            </w:r>
            <w:r>
              <w:t>The same bands and the same Io conditions for each band apply for this requirement as for the corresponding highest accuracy requirement.</w:t>
            </w:r>
          </w:p>
          <w:p>
            <w:pPr>
              <w:pStyle w:val="68"/>
            </w:pPr>
            <w:r>
              <w:t>NOTE 4:</w:t>
            </w:r>
            <w:r>
              <w:tab/>
            </w:r>
            <w:r>
              <w:t>NR operating band groups in FR1 are as defined in clause 3.5.2.</w:t>
            </w:r>
          </w:p>
        </w:tc>
      </w:tr>
    </w:tbl>
    <w:p>
      <w:pPr>
        <w:rPr>
          <w:rFonts w:hint="default" w:eastAsia="宋体"/>
          <w:sz w:val="22"/>
          <w:szCs w:val="22"/>
          <w:lang w:val="en-US" w:eastAsia="zh-CN"/>
        </w:rPr>
      </w:pPr>
    </w:p>
    <w:p>
      <w:pPr>
        <w:pStyle w:val="62"/>
      </w:pPr>
      <w:r>
        <w:t>Table 10.1.</w:t>
      </w:r>
      <w:r>
        <w:rPr>
          <w:lang w:eastAsia="zh-CN"/>
        </w:rPr>
        <w:t>3</w:t>
      </w:r>
      <w:r>
        <w:t>.1.1-1: SS-RSRP Intra frequency absolute accuracy in FR2</w:t>
      </w:r>
    </w:p>
    <w:tbl>
      <w:tblPr>
        <w:tblStyle w:val="17"/>
        <w:tblW w:w="8789" w:type="dxa"/>
        <w:jc w:val="center"/>
        <w:tblLayout w:type="autofit"/>
        <w:tblCellMar>
          <w:top w:w="0" w:type="dxa"/>
          <w:left w:w="108" w:type="dxa"/>
          <w:bottom w:w="0" w:type="dxa"/>
          <w:right w:w="108" w:type="dxa"/>
        </w:tblCellMar>
      </w:tblPr>
      <w:tblGrid>
        <w:gridCol w:w="1122"/>
        <w:gridCol w:w="1119"/>
        <w:gridCol w:w="1119"/>
        <w:gridCol w:w="1124"/>
        <w:gridCol w:w="1124"/>
        <w:gridCol w:w="1590"/>
        <w:gridCol w:w="1591"/>
      </w:tblGrid>
      <w:tr>
        <w:tblPrEx>
          <w:tblCellMar>
            <w:top w:w="0" w:type="dxa"/>
            <w:left w:w="108" w:type="dxa"/>
            <w:bottom w:w="0" w:type="dxa"/>
            <w:right w:w="108" w:type="dxa"/>
          </w:tblCellMar>
        </w:tblPrEx>
        <w:trPr>
          <w:jc w:val="center"/>
        </w:trPr>
        <w:tc>
          <w:tcPr>
            <w:tcW w:w="2241" w:type="dxa"/>
            <w:gridSpan w:val="2"/>
            <w:tcBorders>
              <w:top w:val="single" w:color="auto" w:sz="6" w:space="0"/>
              <w:left w:val="single" w:color="auto" w:sz="4" w:space="0"/>
              <w:right w:val="single" w:color="auto" w:sz="6" w:space="0"/>
            </w:tcBorders>
            <w:shd w:val="clear" w:color="auto" w:fill="auto"/>
            <w:vAlign w:val="center"/>
          </w:tcPr>
          <w:p>
            <w:pPr>
              <w:pStyle w:val="66"/>
            </w:pPr>
            <w:r>
              <w:t>Accuracy</w:t>
            </w:r>
          </w:p>
        </w:tc>
        <w:tc>
          <w:tcPr>
            <w:tcW w:w="6548" w:type="dxa"/>
            <w:gridSpan w:val="5"/>
            <w:tcBorders>
              <w:top w:val="single" w:color="auto" w:sz="4" w:space="0"/>
              <w:left w:val="single" w:color="auto" w:sz="4" w:space="0"/>
              <w:right w:val="single" w:color="auto" w:sz="4" w:space="0"/>
            </w:tcBorders>
            <w:vAlign w:val="center"/>
          </w:tcPr>
          <w:p>
            <w:pPr>
              <w:pStyle w:val="66"/>
            </w:pPr>
            <w:r>
              <w:t>Conditions</w:t>
            </w:r>
          </w:p>
        </w:tc>
      </w:tr>
      <w:tr>
        <w:tblPrEx>
          <w:tblCellMar>
            <w:top w:w="0" w:type="dxa"/>
            <w:left w:w="108" w:type="dxa"/>
            <w:bottom w:w="0" w:type="dxa"/>
            <w:right w:w="108" w:type="dxa"/>
          </w:tblCellMar>
        </w:tblPrEx>
        <w:trPr>
          <w:jc w:val="center"/>
        </w:trPr>
        <w:tc>
          <w:tcPr>
            <w:tcW w:w="1122" w:type="dxa"/>
            <w:tcBorders>
              <w:top w:val="single" w:color="auto" w:sz="6" w:space="0"/>
              <w:left w:val="single" w:color="auto" w:sz="4" w:space="0"/>
              <w:right w:val="single" w:color="auto" w:sz="6" w:space="0"/>
            </w:tcBorders>
            <w:shd w:val="clear" w:color="auto" w:fill="auto"/>
            <w:vAlign w:val="center"/>
          </w:tcPr>
          <w:p>
            <w:pPr>
              <w:pStyle w:val="66"/>
            </w:pPr>
            <w:r>
              <w:t>Normal condition</w:t>
            </w:r>
          </w:p>
        </w:tc>
        <w:tc>
          <w:tcPr>
            <w:tcW w:w="1119" w:type="dxa"/>
            <w:tcBorders>
              <w:top w:val="single" w:color="auto" w:sz="6" w:space="0"/>
              <w:left w:val="single" w:color="auto" w:sz="6" w:space="0"/>
              <w:right w:val="single" w:color="auto" w:sz="6" w:space="0"/>
            </w:tcBorders>
            <w:shd w:val="clear" w:color="auto" w:fill="auto"/>
            <w:vAlign w:val="center"/>
          </w:tcPr>
          <w:p>
            <w:pPr>
              <w:pStyle w:val="66"/>
            </w:pPr>
            <w:r>
              <w:t>Extreme condition</w:t>
            </w:r>
          </w:p>
        </w:tc>
        <w:tc>
          <w:tcPr>
            <w:tcW w:w="1119" w:type="dxa"/>
            <w:tcBorders>
              <w:top w:val="single" w:color="auto" w:sz="4" w:space="0"/>
              <w:left w:val="single" w:color="auto" w:sz="4" w:space="0"/>
              <w:right w:val="single" w:color="auto" w:sz="4" w:space="0"/>
            </w:tcBorders>
          </w:tcPr>
          <w:p>
            <w:pPr>
              <w:pStyle w:val="66"/>
            </w:pPr>
            <w:r>
              <w:rPr>
                <w:rFonts w:cs="Arial"/>
              </w:rPr>
              <w:t>SSB Ês/Iot</w:t>
            </w:r>
          </w:p>
        </w:tc>
        <w:tc>
          <w:tcPr>
            <w:tcW w:w="5429" w:type="dxa"/>
            <w:gridSpan w:val="4"/>
            <w:tcBorders>
              <w:top w:val="single" w:color="auto" w:sz="4" w:space="0"/>
              <w:left w:val="single" w:color="auto" w:sz="4" w:space="0"/>
              <w:bottom w:val="single" w:color="auto" w:sz="6" w:space="0"/>
              <w:right w:val="single" w:color="auto" w:sz="4" w:space="0"/>
            </w:tcBorders>
            <w:shd w:val="clear" w:color="auto" w:fill="auto"/>
            <w:vAlign w:val="center"/>
          </w:tcPr>
          <w:p>
            <w:pPr>
              <w:pStyle w:val="66"/>
            </w:pPr>
            <w:r>
              <w:t>Io</w:t>
            </w:r>
            <w:r>
              <w:rPr>
                <w:vertAlign w:val="superscript"/>
              </w:rPr>
              <w:t xml:space="preserve"> Note 2</w:t>
            </w:r>
            <w:r>
              <w:t xml:space="preserve"> range</w:t>
            </w:r>
          </w:p>
        </w:tc>
      </w:tr>
      <w:tr>
        <w:tblPrEx>
          <w:tblCellMar>
            <w:top w:w="0" w:type="dxa"/>
            <w:left w:w="108" w:type="dxa"/>
            <w:bottom w:w="0" w:type="dxa"/>
            <w:right w:w="108" w:type="dxa"/>
          </w:tblCellMar>
        </w:tblPrEx>
        <w:trPr>
          <w:jc w:val="center"/>
        </w:trPr>
        <w:tc>
          <w:tcPr>
            <w:tcW w:w="1122" w:type="dxa"/>
            <w:tcBorders>
              <w:left w:val="single" w:color="auto" w:sz="4" w:space="0"/>
              <w:bottom w:val="single" w:color="auto" w:sz="6" w:space="0"/>
              <w:right w:val="single" w:color="auto" w:sz="6" w:space="0"/>
            </w:tcBorders>
            <w:shd w:val="clear" w:color="auto" w:fill="auto"/>
            <w:vAlign w:val="center"/>
          </w:tcPr>
          <w:p>
            <w:pPr>
              <w:pStyle w:val="66"/>
            </w:pPr>
          </w:p>
        </w:tc>
        <w:tc>
          <w:tcPr>
            <w:tcW w:w="1119" w:type="dxa"/>
            <w:tcBorders>
              <w:left w:val="single" w:color="auto" w:sz="6" w:space="0"/>
              <w:bottom w:val="single" w:color="auto" w:sz="6" w:space="0"/>
              <w:right w:val="single" w:color="auto" w:sz="6" w:space="0"/>
            </w:tcBorders>
            <w:shd w:val="clear" w:color="auto" w:fill="auto"/>
            <w:vAlign w:val="center"/>
          </w:tcPr>
          <w:p>
            <w:pPr>
              <w:pStyle w:val="66"/>
            </w:pPr>
          </w:p>
        </w:tc>
        <w:tc>
          <w:tcPr>
            <w:tcW w:w="1119" w:type="dxa"/>
            <w:tcBorders>
              <w:left w:val="single" w:color="auto" w:sz="4" w:space="0"/>
              <w:bottom w:val="single" w:color="auto" w:sz="6" w:space="0"/>
              <w:right w:val="single" w:color="auto" w:sz="4" w:space="0"/>
            </w:tcBorders>
            <w:vAlign w:val="center"/>
          </w:tcPr>
          <w:p>
            <w:pPr>
              <w:pStyle w:val="66"/>
            </w:pPr>
          </w:p>
        </w:tc>
        <w:tc>
          <w:tcPr>
            <w:tcW w:w="3838" w:type="dxa"/>
            <w:gridSpan w:val="3"/>
            <w:tcBorders>
              <w:top w:val="single" w:color="auto" w:sz="4" w:space="0"/>
              <w:left w:val="single" w:color="auto" w:sz="4" w:space="0"/>
              <w:bottom w:val="single" w:color="auto" w:sz="6" w:space="0"/>
              <w:right w:val="single" w:color="auto" w:sz="6" w:space="0"/>
            </w:tcBorders>
            <w:shd w:val="clear" w:color="auto" w:fill="auto"/>
            <w:vAlign w:val="center"/>
          </w:tcPr>
          <w:p>
            <w:pPr>
              <w:pStyle w:val="66"/>
            </w:pPr>
            <w:r>
              <w:t>Minimum Io</w:t>
            </w:r>
          </w:p>
        </w:tc>
        <w:tc>
          <w:tcPr>
            <w:tcW w:w="1591" w:type="dxa"/>
            <w:tcBorders>
              <w:top w:val="single" w:color="auto" w:sz="4" w:space="0"/>
              <w:left w:val="single" w:color="auto" w:sz="6" w:space="0"/>
              <w:bottom w:val="single" w:color="auto" w:sz="6" w:space="0"/>
              <w:right w:val="single" w:color="auto" w:sz="4" w:space="0"/>
            </w:tcBorders>
            <w:shd w:val="clear" w:color="auto" w:fill="auto"/>
            <w:vAlign w:val="center"/>
          </w:tcPr>
          <w:p>
            <w:pPr>
              <w:pStyle w:val="66"/>
            </w:pPr>
            <w:r>
              <w:t>Maximum Io</w:t>
            </w:r>
          </w:p>
        </w:tc>
      </w:tr>
      <w:tr>
        <w:tblPrEx>
          <w:tblCellMar>
            <w:top w:w="0" w:type="dxa"/>
            <w:left w:w="108" w:type="dxa"/>
            <w:bottom w:w="0" w:type="dxa"/>
            <w:right w:w="108" w:type="dxa"/>
          </w:tblCellMar>
        </w:tblPrEx>
        <w:trPr>
          <w:jc w:val="center"/>
        </w:trPr>
        <w:tc>
          <w:tcPr>
            <w:tcW w:w="1122" w:type="dxa"/>
            <w:tcBorders>
              <w:top w:val="single" w:color="auto" w:sz="6" w:space="0"/>
              <w:left w:val="single" w:color="auto" w:sz="4" w:space="0"/>
              <w:right w:val="single" w:color="auto" w:sz="6" w:space="0"/>
            </w:tcBorders>
            <w:shd w:val="clear" w:color="auto" w:fill="auto"/>
            <w:vAlign w:val="center"/>
          </w:tcPr>
          <w:p>
            <w:pPr>
              <w:pStyle w:val="66"/>
            </w:pPr>
            <w:r>
              <w:t>dB</w:t>
            </w:r>
          </w:p>
        </w:tc>
        <w:tc>
          <w:tcPr>
            <w:tcW w:w="1119" w:type="dxa"/>
            <w:tcBorders>
              <w:top w:val="single" w:color="auto" w:sz="6" w:space="0"/>
              <w:left w:val="single" w:color="auto" w:sz="6" w:space="0"/>
              <w:right w:val="single" w:color="auto" w:sz="6" w:space="0"/>
            </w:tcBorders>
            <w:shd w:val="clear" w:color="auto" w:fill="auto"/>
            <w:vAlign w:val="center"/>
          </w:tcPr>
          <w:p>
            <w:pPr>
              <w:pStyle w:val="66"/>
            </w:pPr>
            <w:r>
              <w:t>dB</w:t>
            </w:r>
          </w:p>
        </w:tc>
        <w:tc>
          <w:tcPr>
            <w:tcW w:w="1119" w:type="dxa"/>
            <w:tcBorders>
              <w:top w:val="single" w:color="auto" w:sz="6" w:space="0"/>
              <w:left w:val="single" w:color="auto" w:sz="4" w:space="0"/>
              <w:right w:val="single" w:color="auto" w:sz="4" w:space="0"/>
            </w:tcBorders>
            <w:vAlign w:val="center"/>
          </w:tcPr>
          <w:p>
            <w:pPr>
              <w:pStyle w:val="66"/>
              <w:rPr>
                <w:rFonts w:cs="Arial"/>
              </w:rPr>
            </w:pPr>
            <w:r>
              <w:t>dB</w:t>
            </w:r>
          </w:p>
        </w:tc>
        <w:tc>
          <w:tcPr>
            <w:tcW w:w="224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66"/>
            </w:pPr>
            <w:r>
              <w:rPr>
                <w:rFonts w:cs="Arial"/>
              </w:rPr>
              <w:t xml:space="preserve">dBm / </w:t>
            </w:r>
            <w:r>
              <w:t>SCS</w:t>
            </w:r>
            <w:r>
              <w:rPr>
                <w:vertAlign w:val="subscript"/>
              </w:rPr>
              <w:t>SSB</w:t>
            </w:r>
            <w:r>
              <w:rPr>
                <w:vertAlign w:val="superscript"/>
              </w:rPr>
              <w:t xml:space="preserve"> Note 1</w:t>
            </w:r>
          </w:p>
        </w:tc>
        <w:tc>
          <w:tcPr>
            <w:tcW w:w="1590" w:type="dxa"/>
            <w:tcBorders>
              <w:top w:val="single" w:color="auto" w:sz="6" w:space="0"/>
              <w:left w:val="single" w:color="auto" w:sz="6" w:space="0"/>
              <w:right w:val="single" w:color="auto" w:sz="6" w:space="0"/>
            </w:tcBorders>
            <w:shd w:val="clear" w:color="auto" w:fill="auto"/>
            <w:vAlign w:val="center"/>
          </w:tcPr>
          <w:p>
            <w:pPr>
              <w:pStyle w:val="66"/>
            </w:pPr>
            <w:r>
              <w:t>dBm/BW</w:t>
            </w:r>
            <w:r>
              <w:rPr>
                <w:vertAlign w:val="subscript"/>
              </w:rPr>
              <w:t>Channel</w:t>
            </w:r>
          </w:p>
        </w:tc>
        <w:tc>
          <w:tcPr>
            <w:tcW w:w="1591" w:type="dxa"/>
            <w:tcBorders>
              <w:top w:val="single" w:color="auto" w:sz="6" w:space="0"/>
              <w:left w:val="single" w:color="auto" w:sz="6" w:space="0"/>
              <w:right w:val="single" w:color="auto" w:sz="4" w:space="0"/>
            </w:tcBorders>
            <w:shd w:val="clear" w:color="auto" w:fill="auto"/>
            <w:vAlign w:val="center"/>
          </w:tcPr>
          <w:p>
            <w:pPr>
              <w:pStyle w:val="66"/>
            </w:pPr>
            <w:r>
              <w:t>dBm/BW</w:t>
            </w:r>
            <w:r>
              <w:rPr>
                <w:vertAlign w:val="subscript"/>
              </w:rPr>
              <w:t>Channel</w:t>
            </w:r>
          </w:p>
        </w:tc>
      </w:tr>
      <w:tr>
        <w:tblPrEx>
          <w:tblCellMar>
            <w:top w:w="0" w:type="dxa"/>
            <w:left w:w="108" w:type="dxa"/>
            <w:bottom w:w="0" w:type="dxa"/>
            <w:right w:w="108" w:type="dxa"/>
          </w:tblCellMar>
        </w:tblPrEx>
        <w:trPr>
          <w:jc w:val="center"/>
        </w:trPr>
        <w:tc>
          <w:tcPr>
            <w:tcW w:w="1122" w:type="dxa"/>
            <w:tcBorders>
              <w:left w:val="single" w:color="auto" w:sz="4" w:space="0"/>
              <w:bottom w:val="single" w:color="auto" w:sz="6" w:space="0"/>
              <w:right w:val="single" w:color="auto" w:sz="6" w:space="0"/>
            </w:tcBorders>
            <w:shd w:val="clear" w:color="auto" w:fill="auto"/>
            <w:vAlign w:val="center"/>
          </w:tcPr>
          <w:p>
            <w:pPr>
              <w:pStyle w:val="66"/>
            </w:pPr>
          </w:p>
        </w:tc>
        <w:tc>
          <w:tcPr>
            <w:tcW w:w="1119" w:type="dxa"/>
            <w:tcBorders>
              <w:left w:val="single" w:color="auto" w:sz="6" w:space="0"/>
              <w:bottom w:val="single" w:color="auto" w:sz="6" w:space="0"/>
              <w:right w:val="single" w:color="auto" w:sz="6" w:space="0"/>
            </w:tcBorders>
            <w:shd w:val="clear" w:color="auto" w:fill="auto"/>
            <w:vAlign w:val="center"/>
          </w:tcPr>
          <w:p>
            <w:pPr>
              <w:pStyle w:val="66"/>
            </w:pPr>
          </w:p>
        </w:tc>
        <w:tc>
          <w:tcPr>
            <w:tcW w:w="1119" w:type="dxa"/>
            <w:tcBorders>
              <w:left w:val="single" w:color="auto" w:sz="4" w:space="0"/>
              <w:bottom w:val="single" w:color="auto" w:sz="6" w:space="0"/>
              <w:right w:val="single" w:color="auto" w:sz="4" w:space="0"/>
            </w:tcBorders>
          </w:tcPr>
          <w:p>
            <w:pPr>
              <w:pStyle w:val="66"/>
            </w:pPr>
          </w:p>
        </w:tc>
        <w:tc>
          <w:tcPr>
            <w:tcW w:w="1124" w:type="dxa"/>
            <w:tcBorders>
              <w:top w:val="single" w:color="auto" w:sz="6" w:space="0"/>
              <w:left w:val="single" w:color="auto" w:sz="4" w:space="0"/>
              <w:bottom w:val="single" w:color="auto" w:sz="6" w:space="0"/>
              <w:right w:val="single" w:color="auto" w:sz="6" w:space="0"/>
            </w:tcBorders>
            <w:shd w:val="clear" w:color="auto" w:fill="auto"/>
            <w:vAlign w:val="center"/>
          </w:tcPr>
          <w:p>
            <w:pPr>
              <w:pStyle w:val="66"/>
            </w:pPr>
            <w:r>
              <w:t>SCS</w:t>
            </w:r>
            <w:r>
              <w:rPr>
                <w:vertAlign w:val="subscript"/>
              </w:rPr>
              <w:t>SSB</w:t>
            </w:r>
            <w:r>
              <w:rPr>
                <w:rFonts w:cs="Arial"/>
              </w:rPr>
              <w:t xml:space="preserve"> = 120kHz</w:t>
            </w:r>
          </w:p>
        </w:tc>
        <w:tc>
          <w:tcPr>
            <w:tcW w:w="1124" w:type="dxa"/>
            <w:tcBorders>
              <w:top w:val="single" w:color="auto" w:sz="6" w:space="0"/>
              <w:left w:val="single" w:color="auto" w:sz="4" w:space="0"/>
              <w:bottom w:val="single" w:color="auto" w:sz="6" w:space="0"/>
              <w:right w:val="single" w:color="auto" w:sz="6" w:space="0"/>
            </w:tcBorders>
            <w:shd w:val="clear" w:color="auto" w:fill="auto"/>
            <w:vAlign w:val="center"/>
          </w:tcPr>
          <w:p>
            <w:pPr>
              <w:pStyle w:val="66"/>
            </w:pPr>
            <w:r>
              <w:t>SCS</w:t>
            </w:r>
            <w:r>
              <w:rPr>
                <w:vertAlign w:val="subscript"/>
              </w:rPr>
              <w:t>SSB</w:t>
            </w:r>
            <w:r>
              <w:rPr>
                <w:rFonts w:cs="Arial"/>
              </w:rPr>
              <w:t xml:space="preserve"> = 240kHz</w:t>
            </w:r>
          </w:p>
        </w:tc>
        <w:tc>
          <w:tcPr>
            <w:tcW w:w="1590" w:type="dxa"/>
            <w:tcBorders>
              <w:left w:val="single" w:color="auto" w:sz="6" w:space="0"/>
              <w:bottom w:val="single" w:color="auto" w:sz="6" w:space="0"/>
              <w:right w:val="single" w:color="auto" w:sz="6" w:space="0"/>
            </w:tcBorders>
            <w:shd w:val="clear" w:color="auto" w:fill="auto"/>
            <w:vAlign w:val="center"/>
          </w:tcPr>
          <w:p>
            <w:pPr>
              <w:pStyle w:val="66"/>
            </w:pPr>
          </w:p>
        </w:tc>
        <w:tc>
          <w:tcPr>
            <w:tcW w:w="1591" w:type="dxa"/>
            <w:tcBorders>
              <w:left w:val="single" w:color="auto" w:sz="6" w:space="0"/>
              <w:bottom w:val="single" w:color="auto" w:sz="6" w:space="0"/>
              <w:right w:val="single" w:color="auto" w:sz="4" w:space="0"/>
            </w:tcBorders>
            <w:shd w:val="clear" w:color="auto" w:fill="auto"/>
            <w:vAlign w:val="center"/>
          </w:tcPr>
          <w:p>
            <w:pPr>
              <w:pStyle w:val="66"/>
            </w:pPr>
          </w:p>
        </w:tc>
      </w:tr>
      <w:tr>
        <w:tblPrEx>
          <w:tblCellMar>
            <w:top w:w="0" w:type="dxa"/>
            <w:left w:w="108" w:type="dxa"/>
            <w:bottom w:w="0" w:type="dxa"/>
            <w:right w:w="108" w:type="dxa"/>
          </w:tblCellMar>
        </w:tblPrEx>
        <w:trPr>
          <w:jc w:val="center"/>
        </w:trPr>
        <w:tc>
          <w:tcPr>
            <w:tcW w:w="1122" w:type="dxa"/>
            <w:tcBorders>
              <w:top w:val="single" w:color="auto" w:sz="6" w:space="0"/>
              <w:left w:val="single" w:color="auto" w:sz="4" w:space="0"/>
              <w:right w:val="single" w:color="auto" w:sz="6" w:space="0"/>
            </w:tcBorders>
            <w:shd w:val="clear" w:color="auto" w:fill="auto"/>
            <w:vAlign w:val="center"/>
          </w:tcPr>
          <w:p>
            <w:pPr>
              <w:pStyle w:val="67"/>
            </w:pPr>
            <w:r>
              <w:rPr/>
              <w:sym w:font="Symbol" w:char="F0B1"/>
            </w:r>
            <w:r>
              <w:t>6</w:t>
            </w:r>
          </w:p>
        </w:tc>
        <w:tc>
          <w:tcPr>
            <w:tcW w:w="1119" w:type="dxa"/>
            <w:tcBorders>
              <w:top w:val="single" w:color="auto" w:sz="6" w:space="0"/>
              <w:left w:val="single" w:color="auto" w:sz="6" w:space="0"/>
              <w:right w:val="single" w:color="auto" w:sz="6" w:space="0"/>
            </w:tcBorders>
            <w:shd w:val="clear" w:color="auto" w:fill="auto"/>
            <w:vAlign w:val="center"/>
          </w:tcPr>
          <w:p>
            <w:pPr>
              <w:pStyle w:val="67"/>
            </w:pPr>
            <w:r>
              <w:rPr/>
              <w:sym w:font="Symbol" w:char="F0B1"/>
            </w:r>
            <w:r>
              <w:t>9</w:t>
            </w:r>
          </w:p>
        </w:tc>
        <w:tc>
          <w:tcPr>
            <w:tcW w:w="1119" w:type="dxa"/>
            <w:tcBorders>
              <w:top w:val="single" w:color="auto" w:sz="6" w:space="0"/>
              <w:left w:val="single" w:color="auto" w:sz="4" w:space="0"/>
              <w:right w:val="single" w:color="auto" w:sz="4" w:space="0"/>
            </w:tcBorders>
            <w:vAlign w:val="center"/>
          </w:tcPr>
          <w:p>
            <w:pPr>
              <w:pStyle w:val="67"/>
            </w:pPr>
            <w:r>
              <w:rPr>
                <w:rFonts w:eastAsia="Yu Mincho" w:cs="Arial"/>
                <w:lang w:eastAsia="ja-JP"/>
              </w:rPr>
              <w:t>≥-6</w:t>
            </w:r>
          </w:p>
        </w:tc>
        <w:tc>
          <w:tcPr>
            <w:tcW w:w="224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67"/>
              <w:rPr>
                <w:rFonts w:eastAsia="Yu Mincho"/>
                <w:lang w:eastAsia="ja-JP"/>
              </w:rPr>
            </w:pPr>
            <w:r>
              <w:t>Same value as SSB_RP in Table B.2.2-2, according to UE Power class, operating band and angle of arrival</w:t>
            </w:r>
          </w:p>
        </w:tc>
        <w:tc>
          <w:tcPr>
            <w:tcW w:w="159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67"/>
            </w:pPr>
            <w:r>
              <w:rPr>
                <w:lang w:eastAsia="zh-CN"/>
              </w:rPr>
              <w:t>N/A</w:t>
            </w:r>
          </w:p>
        </w:tc>
        <w:tc>
          <w:tcPr>
            <w:tcW w:w="1591"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7"/>
            </w:pPr>
            <w:r>
              <w:t>-70</w:t>
            </w:r>
          </w:p>
        </w:tc>
      </w:tr>
      <w:tr>
        <w:tblPrEx>
          <w:tblCellMar>
            <w:top w:w="0" w:type="dxa"/>
            <w:left w:w="108" w:type="dxa"/>
            <w:bottom w:w="0" w:type="dxa"/>
            <w:right w:w="108" w:type="dxa"/>
          </w:tblCellMar>
        </w:tblPrEx>
        <w:trPr>
          <w:jc w:val="center"/>
        </w:trPr>
        <w:tc>
          <w:tcPr>
            <w:tcW w:w="1122" w:type="dxa"/>
            <w:tcBorders>
              <w:top w:val="single" w:color="auto" w:sz="6" w:space="0"/>
              <w:left w:val="single" w:color="auto" w:sz="4" w:space="0"/>
              <w:bottom w:val="single" w:color="auto" w:sz="6" w:space="0"/>
              <w:right w:val="single" w:color="auto" w:sz="6" w:space="0"/>
            </w:tcBorders>
            <w:shd w:val="clear" w:color="auto" w:fill="auto"/>
            <w:vAlign w:val="center"/>
          </w:tcPr>
          <w:p>
            <w:pPr>
              <w:pStyle w:val="67"/>
            </w:pPr>
            <w:r>
              <w:rPr/>
              <w:sym w:font="Symbol" w:char="F0B1"/>
            </w:r>
            <w:r>
              <w:t>8</w:t>
            </w:r>
          </w:p>
        </w:tc>
        <w:tc>
          <w:tcPr>
            <w:tcW w:w="1119" w:type="dxa"/>
            <w:tcBorders>
              <w:top w:val="single" w:color="auto" w:sz="6" w:space="0"/>
              <w:left w:val="single" w:color="auto" w:sz="6" w:space="0"/>
              <w:bottom w:val="single" w:color="auto" w:sz="6" w:space="0"/>
              <w:right w:val="single" w:color="auto" w:sz="6" w:space="0"/>
            </w:tcBorders>
            <w:shd w:val="clear" w:color="auto" w:fill="auto"/>
            <w:vAlign w:val="center"/>
          </w:tcPr>
          <w:p>
            <w:pPr>
              <w:pStyle w:val="67"/>
            </w:pPr>
            <w:r>
              <w:rPr/>
              <w:sym w:font="Symbol" w:char="F0B1"/>
            </w:r>
            <w:r>
              <w:t>11</w:t>
            </w:r>
          </w:p>
        </w:tc>
        <w:tc>
          <w:tcPr>
            <w:tcW w:w="1119" w:type="dxa"/>
            <w:tcBorders>
              <w:left w:val="single" w:color="auto" w:sz="4" w:space="0"/>
              <w:right w:val="single" w:color="auto" w:sz="4" w:space="0"/>
            </w:tcBorders>
          </w:tcPr>
          <w:p>
            <w:pPr>
              <w:pStyle w:val="67"/>
            </w:pPr>
          </w:p>
        </w:tc>
        <w:tc>
          <w:tcPr>
            <w:tcW w:w="224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67"/>
            </w:pPr>
            <w:r>
              <w:t>N/A</w:t>
            </w:r>
          </w:p>
        </w:tc>
        <w:tc>
          <w:tcPr>
            <w:tcW w:w="159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67"/>
            </w:pPr>
            <w:r>
              <w:t>-70</w:t>
            </w:r>
          </w:p>
        </w:tc>
        <w:tc>
          <w:tcPr>
            <w:tcW w:w="1591"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7"/>
            </w:pPr>
            <w:r>
              <w:t>-50</w:t>
            </w:r>
          </w:p>
        </w:tc>
      </w:tr>
      <w:tr>
        <w:tblPrEx>
          <w:tblCellMar>
            <w:top w:w="0" w:type="dxa"/>
            <w:left w:w="108" w:type="dxa"/>
            <w:bottom w:w="0" w:type="dxa"/>
            <w:right w:w="108" w:type="dxa"/>
          </w:tblCellMar>
        </w:tblPrEx>
        <w:trPr>
          <w:jc w:val="center"/>
        </w:trPr>
        <w:tc>
          <w:tcPr>
            <w:tcW w:w="8789" w:type="dxa"/>
            <w:gridSpan w:val="7"/>
            <w:tcBorders>
              <w:top w:val="single" w:color="auto" w:sz="6" w:space="0"/>
              <w:left w:val="single" w:color="auto" w:sz="4" w:space="0"/>
              <w:bottom w:val="single" w:color="auto" w:sz="6" w:space="0"/>
              <w:right w:val="single" w:color="auto" w:sz="4" w:space="0"/>
            </w:tcBorders>
            <w:shd w:val="clear" w:color="auto" w:fill="auto"/>
            <w:vAlign w:val="center"/>
          </w:tcPr>
          <w:p>
            <w:pPr>
              <w:pStyle w:val="68"/>
            </w:pPr>
            <w:r>
              <w:t>Note 1:</w:t>
            </w:r>
            <w:r>
              <w:tab/>
            </w:r>
            <w:r>
              <w:t>Values based on Refsens and EIS spherical coverage as defined in clauses 7.3.2 and 7.3.4 of TS 38.101-2 [19]. Applicable side condition selected depending on angle of arrival.</w:t>
            </w:r>
          </w:p>
          <w:p>
            <w:pPr>
              <w:pStyle w:val="68"/>
            </w:pPr>
            <w:r>
              <w:t>Note 2:</w:t>
            </w:r>
            <w:r>
              <w:tab/>
            </w:r>
            <w:r>
              <w:rPr>
                <w:rFonts w:eastAsia="MS Mincho"/>
              </w:rPr>
              <w:t>Io specified at the Reference point, and assumed to have constant EPRE across the bandwidth</w:t>
            </w:r>
            <w:r>
              <w:t>.</w:t>
            </w:r>
          </w:p>
          <w:p>
            <w:pPr>
              <w:pStyle w:val="68"/>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rPr>
          <w:rFonts w:hint="default" w:eastAsia="宋体"/>
          <w:sz w:val="22"/>
          <w:szCs w:val="22"/>
          <w:lang w:val="en-US" w:eastAsia="zh-CN"/>
        </w:rPr>
      </w:pPr>
    </w:p>
    <w:p>
      <w:pPr>
        <w:rPr>
          <w:rFonts w:hint="default" w:eastAsia="宋体"/>
          <w:sz w:val="22"/>
          <w:szCs w:val="22"/>
          <w:lang w:val="en-US" w:eastAsia="zh-CN"/>
        </w:rPr>
      </w:pPr>
    </w:p>
    <w:p>
      <w:pPr>
        <w:pStyle w:val="62"/>
      </w:pPr>
      <w:r>
        <w:t xml:space="preserve">Table </w:t>
      </w:r>
      <w:r>
        <w:rPr>
          <w:lang w:eastAsia="zh-CN"/>
        </w:rPr>
        <w:t>10.1.3.1.2</w:t>
      </w:r>
      <w:r>
        <w:t xml:space="preserve">-1: </w:t>
      </w:r>
      <w:r>
        <w:rPr>
          <w:lang w:eastAsia="zh-CN"/>
        </w:rPr>
        <w:t>SS-RSRP</w:t>
      </w:r>
      <w:r>
        <w:t xml:space="preserve"> Intra frequency relative accuracy in FR2</w:t>
      </w:r>
    </w:p>
    <w:tbl>
      <w:tblPr>
        <w:tblStyle w:val="17"/>
        <w:tblW w:w="7019" w:type="dxa"/>
        <w:jc w:val="center"/>
        <w:tblLayout w:type="autofit"/>
        <w:tblCellMar>
          <w:top w:w="0" w:type="dxa"/>
          <w:left w:w="108" w:type="dxa"/>
          <w:bottom w:w="0" w:type="dxa"/>
          <w:right w:w="108" w:type="dxa"/>
        </w:tblCellMar>
      </w:tblPr>
      <w:tblGrid>
        <w:gridCol w:w="1111"/>
        <w:gridCol w:w="1111"/>
        <w:gridCol w:w="1110"/>
        <w:gridCol w:w="1057"/>
        <w:gridCol w:w="1057"/>
        <w:gridCol w:w="1573"/>
      </w:tblGrid>
      <w:tr>
        <w:tblPrEx>
          <w:tblCellMar>
            <w:top w:w="0" w:type="dxa"/>
            <w:left w:w="108" w:type="dxa"/>
            <w:bottom w:w="0" w:type="dxa"/>
            <w:right w:w="108" w:type="dxa"/>
          </w:tblCellMar>
        </w:tblPrEx>
        <w:trPr>
          <w:jc w:val="center"/>
        </w:trPr>
        <w:tc>
          <w:tcPr>
            <w:tcW w:w="2222" w:type="dxa"/>
            <w:gridSpan w:val="2"/>
            <w:tcBorders>
              <w:top w:val="single" w:color="auto" w:sz="6" w:space="0"/>
              <w:left w:val="single" w:color="auto" w:sz="4" w:space="0"/>
              <w:right w:val="single" w:color="auto" w:sz="6" w:space="0"/>
            </w:tcBorders>
            <w:shd w:val="clear" w:color="auto" w:fill="auto"/>
            <w:vAlign w:val="center"/>
          </w:tcPr>
          <w:p>
            <w:pPr>
              <w:pStyle w:val="66"/>
            </w:pPr>
            <w:r>
              <w:t>Accuracy</w:t>
            </w:r>
          </w:p>
        </w:tc>
        <w:tc>
          <w:tcPr>
            <w:tcW w:w="4797" w:type="dxa"/>
            <w:gridSpan w:val="4"/>
            <w:tcBorders>
              <w:top w:val="single" w:color="auto" w:sz="6" w:space="0"/>
              <w:left w:val="single" w:color="auto" w:sz="4" w:space="0"/>
              <w:right w:val="single" w:color="auto" w:sz="4" w:space="0"/>
            </w:tcBorders>
            <w:vAlign w:val="center"/>
          </w:tcPr>
          <w:p>
            <w:pPr>
              <w:pStyle w:val="6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shd w:val="clear" w:color="auto" w:fill="auto"/>
            <w:vAlign w:val="center"/>
          </w:tcPr>
          <w:p>
            <w:pPr>
              <w:pStyle w:val="66"/>
            </w:pPr>
            <w:r>
              <w:t>Normal condition</w:t>
            </w:r>
          </w:p>
        </w:tc>
        <w:tc>
          <w:tcPr>
            <w:tcW w:w="1111" w:type="dxa"/>
            <w:tcBorders>
              <w:top w:val="single" w:color="auto" w:sz="6" w:space="0"/>
              <w:left w:val="single" w:color="auto" w:sz="6" w:space="0"/>
              <w:right w:val="single" w:color="auto" w:sz="6" w:space="0"/>
            </w:tcBorders>
            <w:shd w:val="clear" w:color="auto" w:fill="auto"/>
            <w:vAlign w:val="center"/>
          </w:tcPr>
          <w:p>
            <w:pPr>
              <w:pStyle w:val="66"/>
            </w:pPr>
            <w:r>
              <w:t>Extreme condition</w:t>
            </w:r>
          </w:p>
        </w:tc>
        <w:tc>
          <w:tcPr>
            <w:tcW w:w="1110" w:type="dxa"/>
            <w:tcBorders>
              <w:top w:val="single" w:color="auto" w:sz="6" w:space="0"/>
              <w:left w:val="single" w:color="auto" w:sz="4" w:space="0"/>
              <w:right w:val="single" w:color="auto" w:sz="4" w:space="0"/>
            </w:tcBorders>
          </w:tcPr>
          <w:p>
            <w:pPr>
              <w:pStyle w:val="66"/>
            </w:pPr>
            <w:r>
              <w:rPr>
                <w:rFonts w:cs="Arial"/>
              </w:rPr>
              <w:t>SSB Ês/Iot</w:t>
            </w:r>
          </w:p>
        </w:tc>
        <w:tc>
          <w:tcPr>
            <w:tcW w:w="3687" w:type="dxa"/>
            <w:gridSpan w:val="3"/>
            <w:tcBorders>
              <w:top w:val="single" w:color="auto" w:sz="6" w:space="0"/>
              <w:left w:val="single" w:color="auto" w:sz="4" w:space="0"/>
              <w:bottom w:val="single" w:color="auto" w:sz="6" w:space="0"/>
              <w:right w:val="single" w:color="auto" w:sz="4" w:space="0"/>
            </w:tcBorders>
            <w:shd w:val="clear" w:color="auto" w:fill="auto"/>
            <w:vAlign w:val="center"/>
          </w:tcPr>
          <w:p>
            <w:pPr>
              <w:pStyle w:val="66"/>
            </w:pPr>
            <w:r>
              <w:t>Io</w:t>
            </w:r>
            <w:r>
              <w:rPr>
                <w:vertAlign w:val="superscript"/>
              </w:rPr>
              <w:t xml:space="preserve"> Note 2</w:t>
            </w:r>
            <w:r>
              <w:t xml:space="preserve"> range</w:t>
            </w:r>
          </w:p>
        </w:tc>
      </w:tr>
      <w:tr>
        <w:tblPrEx>
          <w:tblCellMar>
            <w:top w:w="0" w:type="dxa"/>
            <w:left w:w="108" w:type="dxa"/>
            <w:bottom w:w="0" w:type="dxa"/>
            <w:right w:w="108" w:type="dxa"/>
          </w:tblCellMar>
        </w:tblPrEx>
        <w:trPr>
          <w:jc w:val="center"/>
        </w:trPr>
        <w:tc>
          <w:tcPr>
            <w:tcW w:w="1111" w:type="dxa"/>
            <w:tcBorders>
              <w:left w:val="single" w:color="auto" w:sz="4" w:space="0"/>
              <w:right w:val="single" w:color="auto" w:sz="6" w:space="0"/>
            </w:tcBorders>
            <w:shd w:val="clear" w:color="auto" w:fill="auto"/>
            <w:vAlign w:val="center"/>
          </w:tcPr>
          <w:p>
            <w:pPr>
              <w:pStyle w:val="66"/>
            </w:pPr>
          </w:p>
        </w:tc>
        <w:tc>
          <w:tcPr>
            <w:tcW w:w="1111" w:type="dxa"/>
            <w:tcBorders>
              <w:left w:val="single" w:color="auto" w:sz="6" w:space="0"/>
              <w:right w:val="single" w:color="auto" w:sz="6" w:space="0"/>
            </w:tcBorders>
            <w:shd w:val="clear" w:color="auto" w:fill="auto"/>
            <w:vAlign w:val="center"/>
          </w:tcPr>
          <w:p>
            <w:pPr>
              <w:pStyle w:val="66"/>
            </w:pPr>
          </w:p>
        </w:tc>
        <w:tc>
          <w:tcPr>
            <w:tcW w:w="1110" w:type="dxa"/>
            <w:tcBorders>
              <w:left w:val="single" w:color="auto" w:sz="4" w:space="0"/>
              <w:right w:val="single" w:color="auto" w:sz="4" w:space="0"/>
            </w:tcBorders>
            <w:vAlign w:val="center"/>
          </w:tcPr>
          <w:p>
            <w:pPr>
              <w:pStyle w:val="66"/>
            </w:pPr>
          </w:p>
        </w:tc>
        <w:tc>
          <w:tcPr>
            <w:tcW w:w="211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66"/>
              <w:rPr>
                <w:rFonts w:cs="Arial"/>
              </w:rPr>
            </w:pPr>
            <w:r>
              <w:t>Minimum Io</w:t>
            </w:r>
          </w:p>
        </w:tc>
        <w:tc>
          <w:tcPr>
            <w:tcW w:w="1573" w:type="dxa"/>
            <w:tcBorders>
              <w:top w:val="single" w:color="auto" w:sz="6" w:space="0"/>
              <w:left w:val="single" w:color="auto" w:sz="6" w:space="0"/>
              <w:right w:val="single" w:color="auto" w:sz="4" w:space="0"/>
            </w:tcBorders>
            <w:shd w:val="clear" w:color="auto" w:fill="auto"/>
            <w:vAlign w:val="center"/>
          </w:tcPr>
          <w:p>
            <w:pPr>
              <w:pStyle w:val="6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shd w:val="clear" w:color="auto" w:fill="auto"/>
            <w:vAlign w:val="center"/>
          </w:tcPr>
          <w:p>
            <w:pPr>
              <w:pStyle w:val="66"/>
            </w:pPr>
            <w:r>
              <w:t>dB</w:t>
            </w:r>
          </w:p>
        </w:tc>
        <w:tc>
          <w:tcPr>
            <w:tcW w:w="1111" w:type="dxa"/>
            <w:tcBorders>
              <w:top w:val="single" w:color="auto" w:sz="6" w:space="0"/>
              <w:left w:val="single" w:color="auto" w:sz="6" w:space="0"/>
              <w:right w:val="single" w:color="auto" w:sz="6" w:space="0"/>
            </w:tcBorders>
            <w:shd w:val="clear" w:color="auto" w:fill="auto"/>
            <w:vAlign w:val="center"/>
          </w:tcPr>
          <w:p>
            <w:pPr>
              <w:pStyle w:val="66"/>
            </w:pPr>
            <w:r>
              <w:t>dB</w:t>
            </w:r>
          </w:p>
        </w:tc>
        <w:tc>
          <w:tcPr>
            <w:tcW w:w="1110" w:type="dxa"/>
            <w:tcBorders>
              <w:top w:val="single" w:color="auto" w:sz="6" w:space="0"/>
              <w:left w:val="single" w:color="auto" w:sz="4" w:space="0"/>
              <w:right w:val="single" w:color="auto" w:sz="4" w:space="0"/>
            </w:tcBorders>
            <w:vAlign w:val="center"/>
          </w:tcPr>
          <w:p>
            <w:pPr>
              <w:pStyle w:val="66"/>
              <w:rPr>
                <w:rFonts w:cs="Arial"/>
              </w:rPr>
            </w:pPr>
            <w:r>
              <w:t>dB</w:t>
            </w:r>
          </w:p>
        </w:tc>
        <w:tc>
          <w:tcPr>
            <w:tcW w:w="211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66"/>
            </w:pPr>
            <w:r>
              <w:rPr>
                <w:rFonts w:cs="Arial"/>
              </w:rPr>
              <w:t xml:space="preserve">dBm / </w:t>
            </w:r>
            <w:r>
              <w:t>SCS</w:t>
            </w:r>
            <w:r>
              <w:rPr>
                <w:vertAlign w:val="subscript"/>
              </w:rPr>
              <w:t>SSB</w:t>
            </w:r>
            <w:r>
              <w:rPr>
                <w:vertAlign w:val="superscript"/>
              </w:rPr>
              <w:t xml:space="preserve"> Note 1</w:t>
            </w:r>
          </w:p>
        </w:tc>
        <w:tc>
          <w:tcPr>
            <w:tcW w:w="1573" w:type="dxa"/>
            <w:tcBorders>
              <w:top w:val="single" w:color="auto" w:sz="6" w:space="0"/>
              <w:left w:val="single" w:color="auto" w:sz="6" w:space="0"/>
              <w:right w:val="single" w:color="auto" w:sz="4" w:space="0"/>
            </w:tcBorders>
            <w:shd w:val="clear" w:color="auto" w:fill="auto"/>
            <w:vAlign w:val="center"/>
          </w:tcPr>
          <w:p>
            <w:pPr>
              <w:pStyle w:val="66"/>
            </w:pPr>
            <w:r>
              <w:t>dBm/BW</w:t>
            </w:r>
            <w:r>
              <w:rPr>
                <w:vertAlign w:val="subscript"/>
              </w:rPr>
              <w:t>Channel</w:t>
            </w:r>
          </w:p>
        </w:tc>
      </w:tr>
      <w:tr>
        <w:tblPrEx>
          <w:tblCellMar>
            <w:top w:w="0" w:type="dxa"/>
            <w:left w:w="108" w:type="dxa"/>
            <w:bottom w:w="0" w:type="dxa"/>
            <w:right w:w="108" w:type="dxa"/>
          </w:tblCellMar>
        </w:tblPrEx>
        <w:trPr>
          <w:jc w:val="center"/>
        </w:trPr>
        <w:tc>
          <w:tcPr>
            <w:tcW w:w="1111" w:type="dxa"/>
            <w:tcBorders>
              <w:left w:val="single" w:color="auto" w:sz="4" w:space="0"/>
              <w:bottom w:val="single" w:color="auto" w:sz="6" w:space="0"/>
              <w:right w:val="single" w:color="auto" w:sz="6" w:space="0"/>
            </w:tcBorders>
            <w:shd w:val="clear" w:color="auto" w:fill="auto"/>
            <w:vAlign w:val="center"/>
          </w:tcPr>
          <w:p>
            <w:pPr>
              <w:pStyle w:val="66"/>
            </w:pPr>
          </w:p>
        </w:tc>
        <w:tc>
          <w:tcPr>
            <w:tcW w:w="1111" w:type="dxa"/>
            <w:tcBorders>
              <w:left w:val="single" w:color="auto" w:sz="6" w:space="0"/>
              <w:bottom w:val="single" w:color="auto" w:sz="6" w:space="0"/>
              <w:right w:val="single" w:color="auto" w:sz="6" w:space="0"/>
            </w:tcBorders>
            <w:shd w:val="clear" w:color="auto" w:fill="auto"/>
            <w:vAlign w:val="center"/>
          </w:tcPr>
          <w:p>
            <w:pPr>
              <w:pStyle w:val="66"/>
            </w:pPr>
          </w:p>
        </w:tc>
        <w:tc>
          <w:tcPr>
            <w:tcW w:w="1110" w:type="dxa"/>
            <w:tcBorders>
              <w:left w:val="single" w:color="auto" w:sz="4" w:space="0"/>
              <w:bottom w:val="single" w:color="auto" w:sz="6" w:space="0"/>
              <w:right w:val="single" w:color="auto" w:sz="4" w:space="0"/>
            </w:tcBorders>
          </w:tcPr>
          <w:p>
            <w:pPr>
              <w:pStyle w:val="66"/>
            </w:pPr>
          </w:p>
        </w:tc>
        <w:tc>
          <w:tcPr>
            <w:tcW w:w="1057" w:type="dxa"/>
            <w:tcBorders>
              <w:top w:val="single" w:color="auto" w:sz="6" w:space="0"/>
              <w:left w:val="single" w:color="auto" w:sz="4" w:space="0"/>
              <w:bottom w:val="single" w:color="auto" w:sz="6" w:space="0"/>
              <w:right w:val="single" w:color="auto" w:sz="6" w:space="0"/>
            </w:tcBorders>
            <w:shd w:val="clear" w:color="auto" w:fill="auto"/>
            <w:vAlign w:val="center"/>
          </w:tcPr>
          <w:p>
            <w:pPr>
              <w:pStyle w:val="66"/>
            </w:pPr>
            <w:r>
              <w:t>SCS</w:t>
            </w:r>
            <w:r>
              <w:rPr>
                <w:vertAlign w:val="subscript"/>
              </w:rPr>
              <w:t>SSB</w:t>
            </w:r>
            <w:r>
              <w:rPr>
                <w:rFonts w:cs="Arial"/>
              </w:rPr>
              <w:t xml:space="preserve"> = 120kHz</w:t>
            </w:r>
          </w:p>
        </w:tc>
        <w:tc>
          <w:tcPr>
            <w:tcW w:w="1057" w:type="dxa"/>
            <w:tcBorders>
              <w:top w:val="single" w:color="auto" w:sz="6" w:space="0"/>
              <w:left w:val="single" w:color="auto" w:sz="4" w:space="0"/>
              <w:bottom w:val="single" w:color="auto" w:sz="6" w:space="0"/>
              <w:right w:val="single" w:color="auto" w:sz="6" w:space="0"/>
            </w:tcBorders>
            <w:shd w:val="clear" w:color="auto" w:fill="auto"/>
            <w:vAlign w:val="center"/>
          </w:tcPr>
          <w:p>
            <w:pPr>
              <w:pStyle w:val="66"/>
            </w:pPr>
            <w:r>
              <w:t>SCS</w:t>
            </w:r>
            <w:r>
              <w:rPr>
                <w:vertAlign w:val="subscript"/>
              </w:rPr>
              <w:t>SSB</w:t>
            </w:r>
            <w:r>
              <w:rPr>
                <w:rFonts w:cs="Arial"/>
              </w:rPr>
              <w:t xml:space="preserve"> = 240kHz</w:t>
            </w:r>
          </w:p>
        </w:tc>
        <w:tc>
          <w:tcPr>
            <w:tcW w:w="1573" w:type="dxa"/>
            <w:tcBorders>
              <w:left w:val="single" w:color="auto" w:sz="6" w:space="0"/>
              <w:bottom w:val="single" w:color="auto" w:sz="6" w:space="0"/>
              <w:right w:val="single" w:color="auto" w:sz="4" w:space="0"/>
            </w:tcBorders>
            <w:shd w:val="clear" w:color="auto" w:fill="auto"/>
            <w:vAlign w:val="center"/>
          </w:tcPr>
          <w:p>
            <w:pPr>
              <w:pStyle w:val="6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shd w:val="clear" w:color="auto" w:fill="auto"/>
            <w:vAlign w:val="center"/>
          </w:tcPr>
          <w:p>
            <w:pPr>
              <w:pStyle w:val="67"/>
            </w:pPr>
            <w:r>
              <w:rPr/>
              <w:sym w:font="Symbol" w:char="F0B1"/>
            </w:r>
            <w:r>
              <w:t>6</w:t>
            </w:r>
          </w:p>
        </w:tc>
        <w:tc>
          <w:tcPr>
            <w:tcW w:w="1111" w:type="dxa"/>
            <w:tcBorders>
              <w:top w:val="single" w:color="auto" w:sz="6" w:space="0"/>
              <w:left w:val="single" w:color="auto" w:sz="6" w:space="0"/>
              <w:bottom w:val="single" w:color="auto" w:sz="6" w:space="0"/>
              <w:right w:val="single" w:color="auto" w:sz="6" w:space="0"/>
            </w:tcBorders>
            <w:shd w:val="clear" w:color="auto" w:fill="auto"/>
            <w:vAlign w:val="center"/>
          </w:tcPr>
          <w:p>
            <w:pPr>
              <w:pStyle w:val="67"/>
            </w:pPr>
            <w:r>
              <w:rPr/>
              <w:sym w:font="Symbol" w:char="F0B1"/>
            </w:r>
            <w:r>
              <w:t>9</w:t>
            </w:r>
          </w:p>
        </w:tc>
        <w:tc>
          <w:tcPr>
            <w:tcW w:w="1110" w:type="dxa"/>
            <w:tcBorders>
              <w:top w:val="single" w:color="auto" w:sz="6" w:space="0"/>
              <w:left w:val="single" w:color="auto" w:sz="4" w:space="0"/>
              <w:bottom w:val="single" w:color="auto" w:sz="6" w:space="0"/>
              <w:right w:val="single" w:color="auto" w:sz="4" w:space="0"/>
            </w:tcBorders>
            <w:vAlign w:val="center"/>
          </w:tcPr>
          <w:p>
            <w:pPr>
              <w:pStyle w:val="67"/>
            </w:pPr>
            <w:r>
              <w:rPr>
                <w:rFonts w:eastAsia="Yu Mincho" w:cs="Arial"/>
                <w:lang w:eastAsia="ja-JP"/>
              </w:rPr>
              <w:t>≥-6</w:t>
            </w:r>
          </w:p>
        </w:tc>
        <w:tc>
          <w:tcPr>
            <w:tcW w:w="211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67"/>
              <w:rPr>
                <w:rFonts w:eastAsia="Yu Mincho"/>
                <w:lang w:eastAsia="ja-JP"/>
              </w:rPr>
            </w:pPr>
            <w:r>
              <w:t>Same value as SSB_RP in Table B.2.2-2, according to UE Power class, operating band and angle of arrival</w:t>
            </w:r>
          </w:p>
        </w:tc>
        <w:tc>
          <w:tcPr>
            <w:tcW w:w="1573"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7"/>
            </w:pPr>
            <w:r>
              <w:t>-50</w:t>
            </w:r>
          </w:p>
        </w:tc>
      </w:tr>
      <w:tr>
        <w:tblPrEx>
          <w:tblCellMar>
            <w:top w:w="0" w:type="dxa"/>
            <w:left w:w="108" w:type="dxa"/>
            <w:bottom w:w="0" w:type="dxa"/>
            <w:right w:w="108" w:type="dxa"/>
          </w:tblCellMar>
        </w:tblPrEx>
        <w:trPr>
          <w:jc w:val="center"/>
        </w:trPr>
        <w:tc>
          <w:tcPr>
            <w:tcW w:w="7019" w:type="dxa"/>
            <w:gridSpan w:val="6"/>
            <w:tcBorders>
              <w:top w:val="single" w:color="auto" w:sz="6" w:space="0"/>
              <w:left w:val="single" w:color="auto" w:sz="4" w:space="0"/>
              <w:bottom w:val="single" w:color="auto" w:sz="4" w:space="0"/>
              <w:right w:val="single" w:color="auto" w:sz="4" w:space="0"/>
            </w:tcBorders>
            <w:shd w:val="clear" w:color="auto" w:fill="auto"/>
            <w:vAlign w:val="center"/>
          </w:tcPr>
          <w:p>
            <w:pPr>
              <w:pStyle w:val="68"/>
            </w:pPr>
            <w:r>
              <w:t>Note 1:</w:t>
            </w:r>
            <w:r>
              <w:tab/>
            </w:r>
            <w:r>
              <w:t>Values based on Refsens and EIS spherical coverage as defined in clauses 7.3.2 and 7.3.4 of TS 38.101-2 [19]. Applicable side condition selected depending on angle of arrival.</w:t>
            </w:r>
          </w:p>
          <w:p>
            <w:pPr>
              <w:pStyle w:val="68"/>
            </w:pPr>
            <w:r>
              <w:t>Note 2:</w:t>
            </w:r>
            <w:r>
              <w:tab/>
            </w:r>
            <w:r>
              <w:rPr>
                <w:rFonts w:eastAsia="MS Mincho"/>
              </w:rPr>
              <w:t>Io specified at the Reference point, and assumed to have constant EPRE across the bandwidth</w:t>
            </w:r>
            <w:r>
              <w:t>.</w:t>
            </w:r>
          </w:p>
          <w:p>
            <w:pPr>
              <w:pStyle w:val="68"/>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p>
            <w:pPr>
              <w:pStyle w:val="68"/>
            </w:pPr>
            <w:r>
              <w:t>Note 4:</w:t>
            </w:r>
            <w:r>
              <w:tab/>
            </w:r>
            <w:r>
              <w:t>The parameter SSB Ês/Iot is the minimum SSB Ês/Iot of the pair of cells to which the requirement applies.</w:t>
            </w:r>
          </w:p>
        </w:tc>
      </w:tr>
    </w:tbl>
    <w:p>
      <w:pPr>
        <w:rPr>
          <w:rFonts w:hint="default" w:eastAsia="宋体"/>
          <w:sz w:val="22"/>
          <w:szCs w:val="22"/>
          <w:lang w:val="en-US" w:eastAsia="zh-CN"/>
        </w:rPr>
      </w:pPr>
    </w:p>
    <w:p>
      <w:pPr>
        <w:rPr>
          <w:rFonts w:hint="default" w:eastAsia="宋体"/>
          <w:sz w:val="22"/>
          <w:szCs w:val="22"/>
          <w:lang w:val="en-US" w:eastAsia="zh-CN"/>
        </w:rPr>
      </w:pPr>
    </w:p>
    <w:p>
      <w:pPr>
        <w:rPr>
          <w:rFonts w:hint="eastAsia" w:eastAsia="宋体"/>
          <w:sz w:val="22"/>
          <w:szCs w:val="22"/>
          <w:lang w:val="en-US" w:eastAsia="zh-CN"/>
        </w:rPr>
      </w:pPr>
      <w:r>
        <w:rPr>
          <w:rFonts w:hint="eastAsia" w:eastAsia="宋体"/>
          <w:sz w:val="22"/>
          <w:szCs w:val="22"/>
          <w:lang w:val="en-US" w:eastAsia="zh-CN"/>
        </w:rPr>
        <w:t>We can see that for SS-RSRP, the difference between normal condition and extreme condition in FR1 and FR2 are:</w:t>
      </w:r>
    </w:p>
    <w:p>
      <w:pPr>
        <w:rPr>
          <w:rFonts w:hint="default" w:eastAsia="宋体"/>
          <w:sz w:val="22"/>
          <w:szCs w:val="22"/>
          <w:lang w:val="en-US" w:eastAsia="zh-CN"/>
        </w:rPr>
      </w:pPr>
      <w:r>
        <w:rPr>
          <w:rFonts w:hint="default" w:eastAsia="宋体"/>
          <w:sz w:val="22"/>
          <w:szCs w:val="22"/>
          <w:lang w:val="en-US" w:eastAsia="zh-CN"/>
        </w:rPr>
        <w:t xml:space="preserve">- </w:t>
      </w:r>
      <w:r>
        <w:rPr>
          <w:rFonts w:hint="eastAsia" w:eastAsia="宋体"/>
          <w:sz w:val="22"/>
          <w:szCs w:val="22"/>
          <w:lang w:val="en-US" w:eastAsia="zh-CN"/>
        </w:rPr>
        <w:t xml:space="preserve">around </w:t>
      </w:r>
      <w:r>
        <w:rPr>
          <w:rFonts w:hint="default" w:eastAsia="宋体"/>
          <w:sz w:val="22"/>
          <w:szCs w:val="22"/>
          <w:lang w:val="en-US" w:eastAsia="zh-CN"/>
        </w:rPr>
        <w:t xml:space="preserve">3dB for absolute accuracy for FR1. </w:t>
      </w:r>
    </w:p>
    <w:p>
      <w:pPr>
        <w:rPr>
          <w:rFonts w:hint="default" w:eastAsia="宋体"/>
          <w:sz w:val="22"/>
          <w:szCs w:val="22"/>
          <w:lang w:val="en-US" w:eastAsia="zh-CN"/>
        </w:rPr>
      </w:pPr>
      <w:r>
        <w:rPr>
          <w:rFonts w:hint="default" w:eastAsia="宋体"/>
          <w:sz w:val="22"/>
          <w:szCs w:val="22"/>
          <w:lang w:val="en-US" w:eastAsia="zh-CN"/>
        </w:rPr>
        <w:t xml:space="preserve">- 3dB for absolute accuracy for FR2. </w:t>
      </w:r>
    </w:p>
    <w:p>
      <w:pPr>
        <w:rPr>
          <w:rFonts w:hint="default" w:eastAsia="宋体"/>
          <w:sz w:val="22"/>
          <w:szCs w:val="22"/>
          <w:lang w:val="en-US" w:eastAsia="zh-CN"/>
        </w:rPr>
      </w:pPr>
      <w:r>
        <w:rPr>
          <w:rFonts w:hint="default" w:eastAsia="宋体"/>
          <w:sz w:val="22"/>
          <w:szCs w:val="22"/>
          <w:lang w:val="en-US" w:eastAsia="zh-CN"/>
        </w:rPr>
        <w:t xml:space="preserve">- </w:t>
      </w:r>
      <w:r>
        <w:rPr>
          <w:rFonts w:hint="eastAsia" w:eastAsia="宋体"/>
          <w:sz w:val="22"/>
          <w:szCs w:val="22"/>
          <w:lang w:val="en-US" w:eastAsia="zh-CN"/>
        </w:rPr>
        <w:t xml:space="preserve">around </w:t>
      </w:r>
      <w:r>
        <w:rPr>
          <w:rFonts w:hint="default" w:eastAsia="宋体"/>
          <w:sz w:val="22"/>
          <w:szCs w:val="22"/>
          <w:lang w:val="en-US" w:eastAsia="zh-CN"/>
        </w:rPr>
        <w:t xml:space="preserve">1dB for relative accuracy for FR1. </w:t>
      </w:r>
    </w:p>
    <w:p>
      <w:pPr>
        <w:rPr>
          <w:rFonts w:hint="default" w:eastAsia="宋体"/>
          <w:sz w:val="22"/>
          <w:szCs w:val="22"/>
          <w:lang w:val="en-US" w:eastAsia="zh-CN"/>
        </w:rPr>
      </w:pPr>
      <w:r>
        <w:rPr>
          <w:rFonts w:hint="default" w:eastAsia="宋体"/>
          <w:sz w:val="22"/>
          <w:szCs w:val="22"/>
          <w:lang w:val="en-US" w:eastAsia="zh-CN"/>
        </w:rPr>
        <w:t>- 3dB for relative accuracy for FR2</w:t>
      </w:r>
    </w:p>
    <w:p>
      <w:pPr>
        <w:rPr>
          <w:rFonts w:hint="default" w:eastAsia="宋体"/>
          <w:sz w:val="22"/>
          <w:szCs w:val="22"/>
          <w:lang w:val="en-US" w:eastAsia="zh-CN"/>
        </w:rPr>
      </w:pPr>
    </w:p>
    <w:p>
      <w:pPr>
        <w:rPr>
          <w:rFonts w:hint="default" w:eastAsia="宋体"/>
          <w:sz w:val="22"/>
          <w:szCs w:val="22"/>
          <w:lang w:val="en-US" w:eastAsia="zh-CN"/>
        </w:rPr>
      </w:pPr>
      <w:r>
        <w:rPr>
          <w:rFonts w:hint="eastAsia" w:eastAsia="宋体"/>
          <w:sz w:val="22"/>
          <w:szCs w:val="22"/>
          <w:lang w:val="en-US" w:eastAsia="zh-CN"/>
        </w:rPr>
        <w:t>The difference between normal conditions and extreme conditions is also aligned with measurement accuracy requirements for L1-SINR and SS-RSRQ. The UE measurement capability for these reference signals shall be very similar, thus, we think that the following difference can be agreed (taking the difference of other MOs as baseline).</w:t>
      </w:r>
    </w:p>
    <w:p>
      <w:pPr>
        <w:pStyle w:val="35"/>
        <w:rPr>
          <w:rFonts w:hint="default" w:eastAsia="宋体"/>
          <w:sz w:val="22"/>
          <w:szCs w:val="22"/>
          <w:lang w:val="en-US" w:eastAsia="zh-CN"/>
        </w:rPr>
      </w:pPr>
      <w:r>
        <w:rPr>
          <w:rFonts w:hint="default"/>
          <w:lang w:val="en-US" w:eastAsia="zh-CN"/>
        </w:rPr>
        <w:t>PRS RSRP measurement requirements in extreme condition are X dB larger than that in normal condition, and X is:</w:t>
      </w:r>
    </w:p>
    <w:p>
      <w:pPr>
        <w:jc w:val="left"/>
        <w:rPr>
          <w:rFonts w:hint="default"/>
          <w:b/>
          <w:bCs/>
          <w:lang w:val="en-US" w:eastAsia="zh-CN"/>
        </w:rPr>
      </w:pPr>
      <w:r>
        <w:rPr>
          <w:rFonts w:hint="eastAsia"/>
          <w:b/>
          <w:bCs/>
          <w:lang w:val="en-US" w:eastAsia="zh-CN"/>
        </w:rPr>
        <w:t xml:space="preserve">- </w:t>
      </w:r>
      <w:r>
        <w:rPr>
          <w:rFonts w:hint="default"/>
          <w:b/>
          <w:bCs/>
          <w:lang w:val="en-US" w:eastAsia="zh-CN"/>
        </w:rPr>
        <w:t xml:space="preserve">3dB for absolute accuracy for FR1. </w:t>
      </w:r>
    </w:p>
    <w:p>
      <w:pPr>
        <w:jc w:val="left"/>
        <w:rPr>
          <w:rFonts w:hint="default"/>
          <w:b/>
          <w:bCs/>
          <w:lang w:val="en-US" w:eastAsia="zh-CN"/>
        </w:rPr>
      </w:pPr>
      <w:r>
        <w:rPr>
          <w:rFonts w:hint="eastAsia"/>
          <w:b/>
          <w:bCs/>
          <w:lang w:val="en-US" w:eastAsia="zh-CN"/>
        </w:rPr>
        <w:t xml:space="preserve">- </w:t>
      </w:r>
      <w:r>
        <w:rPr>
          <w:rFonts w:hint="default"/>
          <w:b/>
          <w:bCs/>
          <w:lang w:val="en-US" w:eastAsia="zh-CN"/>
        </w:rPr>
        <w:t xml:space="preserve">3dB for absolute accuracy for FR2. </w:t>
      </w:r>
    </w:p>
    <w:p>
      <w:pPr>
        <w:jc w:val="left"/>
        <w:rPr>
          <w:rFonts w:hint="default"/>
          <w:b/>
          <w:bCs/>
          <w:lang w:val="en-US" w:eastAsia="zh-CN"/>
        </w:rPr>
      </w:pPr>
      <w:r>
        <w:rPr>
          <w:rFonts w:hint="eastAsia"/>
          <w:b/>
          <w:bCs/>
          <w:lang w:val="en-US" w:eastAsia="zh-CN"/>
        </w:rPr>
        <w:t xml:space="preserve">- </w:t>
      </w:r>
      <w:r>
        <w:rPr>
          <w:rFonts w:hint="default"/>
          <w:b/>
          <w:bCs/>
          <w:lang w:val="en-US" w:eastAsia="zh-CN"/>
        </w:rPr>
        <w:t xml:space="preserve">1dB for relative accuracy for FR1. </w:t>
      </w:r>
    </w:p>
    <w:p>
      <w:pPr>
        <w:pStyle w:val="35"/>
        <w:numPr>
          <w:ilvl w:val="0"/>
          <w:numId w:val="0"/>
        </w:numPr>
        <w:ind w:leftChars="0"/>
        <w:rPr>
          <w:rFonts w:hint="default" w:eastAsia="宋体"/>
          <w:sz w:val="22"/>
          <w:szCs w:val="22"/>
          <w:lang w:val="en-US" w:eastAsia="zh-CN"/>
        </w:rPr>
      </w:pPr>
      <w:r>
        <w:rPr>
          <w:rFonts w:hint="eastAsia"/>
          <w:lang w:val="en-US" w:eastAsia="zh-CN"/>
        </w:rPr>
        <w:t xml:space="preserve">- </w:t>
      </w:r>
      <w:r>
        <w:rPr>
          <w:rFonts w:hint="default"/>
          <w:lang w:val="en-US" w:eastAsia="zh-CN"/>
        </w:rPr>
        <w:t>3dB for relative accuracy for FR2</w:t>
      </w:r>
      <w:r>
        <w:rPr>
          <w:rFonts w:hint="eastAsia"/>
          <w:lang w:val="en-US" w:eastAsia="zh-CN"/>
        </w:rPr>
        <w:t>.</w:t>
      </w:r>
    </w:p>
    <w:p>
      <w:pPr>
        <w:pStyle w:val="35"/>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We also provide a CR to implement the changes mentioned above.</w:t>
      </w:r>
    </w:p>
    <w:p>
      <w:pPr>
        <w:rPr>
          <w:rFonts w:hint="eastAsia" w:eastAsia="宋体"/>
          <w:b w:val="0"/>
          <w:bCs/>
          <w:sz w:val="22"/>
          <w:szCs w:val="22"/>
          <w:lang w:val="en-US" w:eastAsia="zh-CN"/>
        </w:rPr>
      </w:pPr>
    </w:p>
    <w:p>
      <w:pPr>
        <w:rPr>
          <w:rFonts w:hint="default" w:eastAsia="宋体"/>
          <w:sz w:val="22"/>
          <w:szCs w:val="22"/>
          <w:lang w:val="en-US" w:eastAsia="zh-CN"/>
        </w:rPr>
      </w:pPr>
      <w:r>
        <w:rPr>
          <w:rFonts w:hint="eastAsia" w:eastAsia="宋体"/>
          <w:b w:val="0"/>
          <w:bCs/>
          <w:sz w:val="22"/>
          <w:szCs w:val="22"/>
          <w:lang w:val="en-US" w:eastAsia="zh-CN"/>
        </w:rPr>
        <w:t>On UE Rx-Tx measurements,</w:t>
      </w:r>
      <w:r>
        <w:rPr>
          <w:rFonts w:hint="eastAsia" w:eastAsia="宋体"/>
          <w:sz w:val="22"/>
          <w:szCs w:val="22"/>
          <w:lang w:val="en-US" w:eastAsia="zh-CN"/>
        </w:rPr>
        <w:t xml:space="preserve"> there are two parts of the story depending on whether the uplink timing changes due to network configured TA change or UE autonomous change.</w:t>
      </w:r>
    </w:p>
    <w:p>
      <w:pPr>
        <w:rPr>
          <w:rFonts w:hint="default" w:eastAsia="宋体"/>
          <w:sz w:val="22"/>
          <w:szCs w:val="22"/>
          <w:lang w:val="en-US" w:eastAsia="zh-CN"/>
        </w:rPr>
      </w:pPr>
      <w:r>
        <w:rPr>
          <w:rFonts w:hint="eastAsia" w:eastAsia="宋体"/>
          <w:sz w:val="22"/>
          <w:szCs w:val="22"/>
          <w:lang w:val="en-US" w:eastAsia="zh-CN"/>
        </w:rPr>
        <w:t>The difference between these two changes are that if the UE applies an autonomous change on its uplink timing, then it</w:t>
      </w:r>
      <w:r>
        <w:rPr>
          <w:rFonts w:hint="default" w:eastAsia="宋体"/>
          <w:sz w:val="22"/>
          <w:szCs w:val="22"/>
          <w:lang w:val="en-US" w:eastAsia="zh-CN"/>
        </w:rPr>
        <w:t>’</w:t>
      </w:r>
      <w:r>
        <w:rPr>
          <w:rFonts w:hint="eastAsia" w:eastAsia="宋体"/>
          <w:sz w:val="22"/>
          <w:szCs w:val="22"/>
          <w:lang w:val="en-US" w:eastAsia="zh-CN"/>
        </w:rPr>
        <w:t>s assumed that the UE still follows downlink timing well, which means the timing relationship between the UE and the network is still maintained. On the other hand, network configured TA change is independent to the UE DL timing and the timing relationship is re-established so it</w:t>
      </w:r>
      <w:r>
        <w:rPr>
          <w:rFonts w:hint="default" w:eastAsia="宋体"/>
          <w:sz w:val="22"/>
          <w:szCs w:val="22"/>
          <w:lang w:val="en-US" w:eastAsia="zh-CN"/>
        </w:rPr>
        <w:t>’</w:t>
      </w:r>
      <w:r>
        <w:rPr>
          <w:rFonts w:hint="eastAsia" w:eastAsia="宋体"/>
          <w:sz w:val="22"/>
          <w:szCs w:val="22"/>
          <w:lang w:val="en-US" w:eastAsia="zh-CN"/>
        </w:rPr>
        <w:t>s hard for the UE to continue measuring Rx-Tx time difference.</w:t>
      </w:r>
    </w:p>
    <w:p>
      <w:pPr>
        <w:rPr>
          <w:rFonts w:hint="default" w:eastAsia="宋体"/>
          <w:sz w:val="22"/>
          <w:szCs w:val="22"/>
          <w:lang w:val="en-US" w:eastAsia="zh-CN"/>
        </w:rPr>
      </w:pPr>
      <w:r>
        <w:rPr>
          <w:rFonts w:hint="eastAsia" w:eastAsia="宋体"/>
          <w:sz w:val="22"/>
          <w:szCs w:val="22"/>
          <w:lang w:val="en-US" w:eastAsia="zh-CN"/>
        </w:rPr>
        <w:t xml:space="preserve">Thus, when the uplink transmission time changes for the UE due to network configured TA change, the requirements shall not apply since the Rx - Tx measurement is interrupted. While the </w:t>
      </w:r>
      <w:r>
        <w:rPr>
          <w:rFonts w:hint="default" w:eastAsia="宋体"/>
          <w:sz w:val="22"/>
          <w:szCs w:val="22"/>
          <w:highlight w:val="none"/>
          <w:vertAlign w:val="baseline"/>
          <w:lang w:val="en-US" w:eastAsia="zh-CN"/>
        </w:rPr>
        <w:t>UE Rx-Tx measurement accuracy requirements shall apply if the uplink transmission timing changes during the UE Rx-Tx measurement period due to autonomous adjustment</w:t>
      </w:r>
      <w:r>
        <w:rPr>
          <w:rFonts w:hint="eastAsia" w:eastAsia="宋体"/>
          <w:sz w:val="22"/>
          <w:szCs w:val="22"/>
          <w:highlight w:val="none"/>
          <w:vertAlign w:val="baseline"/>
          <w:lang w:val="en-US" w:eastAsia="zh-CN"/>
        </w:rPr>
        <w:t>.</w:t>
      </w:r>
    </w:p>
    <w:p>
      <w:pPr>
        <w:pStyle w:val="35"/>
        <w:rPr>
          <w:rFonts w:hint="default"/>
          <w:lang w:val="en-US" w:eastAsia="zh-CN"/>
        </w:rPr>
      </w:pPr>
      <w:r>
        <w:rPr>
          <w:rFonts w:hint="default" w:eastAsia="宋体"/>
          <w:sz w:val="22"/>
          <w:szCs w:val="22"/>
          <w:highlight w:val="none"/>
          <w:vertAlign w:val="baseline"/>
          <w:lang w:val="en-US" w:eastAsia="zh-CN"/>
        </w:rPr>
        <w:t>UE Rx-Tx measurement accuracy requirements shall apply if the uplink transmission timing changes during the UE Rx-Tx measurement period due to autonomous adjustment</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pStyle w:val="35"/>
        <w:numPr>
          <w:ilvl w:val="0"/>
          <w:numId w:val="0"/>
        </w:numPr>
        <w:ind w:leftChars="0"/>
        <w:rPr>
          <w:rFonts w:hint="default" w:eastAsia="宋体"/>
          <w:b/>
          <w:bCs w:val="0"/>
          <w:sz w:val="22"/>
          <w:szCs w:val="22"/>
          <w:lang w:val="en-US" w:eastAsia="zh-CN"/>
        </w:rPr>
      </w:pPr>
      <w:r>
        <w:rPr>
          <w:rFonts w:hint="eastAsia"/>
          <w:b/>
          <w:bCs w:val="0"/>
          <w:sz w:val="22"/>
          <w:szCs w:val="22"/>
          <w:lang w:val="en-US" w:eastAsia="zh-CN"/>
        </w:rPr>
        <w:t xml:space="preserve">Proposal 1: </w:t>
      </w:r>
      <w:r>
        <w:rPr>
          <w:rFonts w:hint="default"/>
          <w:b/>
          <w:bCs w:val="0"/>
          <w:lang w:val="en-US" w:eastAsia="zh-CN"/>
        </w:rPr>
        <w:t>PRS RSRP measurement requirements in extreme condition are X dB larger than that in normal condition, and X is:</w:t>
      </w:r>
    </w:p>
    <w:p>
      <w:pPr>
        <w:jc w:val="left"/>
        <w:rPr>
          <w:rFonts w:hint="default"/>
          <w:b/>
          <w:bCs w:val="0"/>
          <w:lang w:val="en-US" w:eastAsia="zh-CN"/>
        </w:rPr>
      </w:pPr>
      <w:r>
        <w:rPr>
          <w:rFonts w:hint="eastAsia"/>
          <w:b/>
          <w:bCs w:val="0"/>
          <w:lang w:val="en-US" w:eastAsia="zh-CN"/>
        </w:rPr>
        <w:t xml:space="preserve">- </w:t>
      </w:r>
      <w:r>
        <w:rPr>
          <w:rFonts w:hint="default"/>
          <w:b/>
          <w:bCs w:val="0"/>
          <w:lang w:val="en-US" w:eastAsia="zh-CN"/>
        </w:rPr>
        <w:t xml:space="preserve">3dB for absolute accuracy for FR1. </w:t>
      </w:r>
    </w:p>
    <w:p>
      <w:pPr>
        <w:jc w:val="left"/>
        <w:rPr>
          <w:rFonts w:hint="default"/>
          <w:b/>
          <w:bCs w:val="0"/>
          <w:lang w:val="en-US" w:eastAsia="zh-CN"/>
        </w:rPr>
      </w:pPr>
      <w:r>
        <w:rPr>
          <w:rFonts w:hint="eastAsia"/>
          <w:b/>
          <w:bCs w:val="0"/>
          <w:lang w:val="en-US" w:eastAsia="zh-CN"/>
        </w:rPr>
        <w:t xml:space="preserve">- </w:t>
      </w:r>
      <w:r>
        <w:rPr>
          <w:rFonts w:hint="default"/>
          <w:b/>
          <w:bCs w:val="0"/>
          <w:lang w:val="en-US" w:eastAsia="zh-CN"/>
        </w:rPr>
        <w:t xml:space="preserve">3dB for absolute accuracy for FR2. </w:t>
      </w:r>
    </w:p>
    <w:p>
      <w:pPr>
        <w:jc w:val="left"/>
        <w:rPr>
          <w:rFonts w:hint="default"/>
          <w:b/>
          <w:bCs w:val="0"/>
          <w:lang w:val="en-US" w:eastAsia="zh-CN"/>
        </w:rPr>
      </w:pPr>
      <w:r>
        <w:rPr>
          <w:rFonts w:hint="eastAsia"/>
          <w:b/>
          <w:bCs w:val="0"/>
          <w:lang w:val="en-US" w:eastAsia="zh-CN"/>
        </w:rPr>
        <w:t xml:space="preserve">- </w:t>
      </w:r>
      <w:r>
        <w:rPr>
          <w:rFonts w:hint="default"/>
          <w:b/>
          <w:bCs w:val="0"/>
          <w:lang w:val="en-US" w:eastAsia="zh-CN"/>
        </w:rPr>
        <w:t xml:space="preserve">1dB for relative accuracy for FR1. </w:t>
      </w:r>
    </w:p>
    <w:p>
      <w:pPr>
        <w:rPr>
          <w:rFonts w:hint="eastAsia"/>
          <w:b/>
          <w:bCs w:val="0"/>
          <w:lang w:val="en-US" w:eastAsia="zh-CN"/>
        </w:rPr>
      </w:pPr>
      <w:r>
        <w:rPr>
          <w:rFonts w:hint="eastAsia"/>
          <w:b/>
          <w:bCs w:val="0"/>
          <w:lang w:val="en-US" w:eastAsia="zh-CN"/>
        </w:rPr>
        <w:t xml:space="preserve">- </w:t>
      </w:r>
      <w:r>
        <w:rPr>
          <w:rFonts w:hint="default"/>
          <w:b/>
          <w:bCs w:val="0"/>
          <w:lang w:val="en-US" w:eastAsia="zh-CN"/>
        </w:rPr>
        <w:t>3dB for relative accuracy for FR2</w:t>
      </w:r>
      <w:r>
        <w:rPr>
          <w:rFonts w:hint="eastAsia"/>
          <w:b/>
          <w:bCs w:val="0"/>
          <w:lang w:val="en-US" w:eastAsia="zh-CN"/>
        </w:rPr>
        <w:t>.</w:t>
      </w:r>
    </w:p>
    <w:p>
      <w:pPr>
        <w:rPr>
          <w:rFonts w:hint="default"/>
          <w:b/>
          <w:bCs w:val="0"/>
          <w:lang w:val="en-US" w:eastAsia="zh-CN"/>
        </w:rPr>
      </w:pPr>
      <w:r>
        <w:rPr>
          <w:rFonts w:hint="eastAsia"/>
          <w:b/>
          <w:bCs w:val="0"/>
          <w:sz w:val="22"/>
          <w:szCs w:val="22"/>
          <w:lang w:val="en-US" w:eastAsia="zh-CN"/>
        </w:rPr>
        <w:t xml:space="preserve">Proposal 2: </w:t>
      </w:r>
      <w:r>
        <w:rPr>
          <w:rFonts w:hint="default" w:eastAsia="宋体"/>
          <w:b/>
          <w:bCs/>
          <w:sz w:val="22"/>
          <w:szCs w:val="22"/>
          <w:highlight w:val="none"/>
          <w:vertAlign w:val="baseline"/>
          <w:lang w:val="en-US" w:eastAsia="zh-CN"/>
        </w:rPr>
        <w:t>UE Rx-Tx measurement accuracy requirements shall apply if the uplink transmission timing changes during the UE Rx-Tx measurement period due to autonomous adjustment</w:t>
      </w:r>
      <w:r>
        <w:rPr>
          <w:rFonts w:hint="eastAsia" w:eastAsia="宋体"/>
          <w:b/>
          <w:bCs/>
          <w:sz w:val="22"/>
          <w:szCs w:val="22"/>
          <w:highlight w:val="none"/>
          <w:vertAlign w:val="baseline"/>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R4-2115307</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6BB2E8D"/>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623B27"/>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C372AA"/>
    <w:rsid w:val="1CDA242C"/>
    <w:rsid w:val="1CFB2AC1"/>
    <w:rsid w:val="1D134EED"/>
    <w:rsid w:val="1D1F1294"/>
    <w:rsid w:val="1D806CCD"/>
    <w:rsid w:val="1D85535E"/>
    <w:rsid w:val="1DB41841"/>
    <w:rsid w:val="1DE45821"/>
    <w:rsid w:val="1DF64986"/>
    <w:rsid w:val="1E8806BC"/>
    <w:rsid w:val="1EA137E3"/>
    <w:rsid w:val="1EC97F44"/>
    <w:rsid w:val="1EFE118E"/>
    <w:rsid w:val="1F0936F5"/>
    <w:rsid w:val="1F17474D"/>
    <w:rsid w:val="1F2B10F9"/>
    <w:rsid w:val="1F711839"/>
    <w:rsid w:val="1F76376C"/>
    <w:rsid w:val="1F8A172B"/>
    <w:rsid w:val="1FA564C4"/>
    <w:rsid w:val="200D067C"/>
    <w:rsid w:val="20811B82"/>
    <w:rsid w:val="20A662B2"/>
    <w:rsid w:val="21091739"/>
    <w:rsid w:val="211451D0"/>
    <w:rsid w:val="211B0B99"/>
    <w:rsid w:val="21402B64"/>
    <w:rsid w:val="2151075A"/>
    <w:rsid w:val="2187422D"/>
    <w:rsid w:val="21987F74"/>
    <w:rsid w:val="219E74A3"/>
    <w:rsid w:val="22271C95"/>
    <w:rsid w:val="22571B82"/>
    <w:rsid w:val="22843CEF"/>
    <w:rsid w:val="22920D1D"/>
    <w:rsid w:val="22C0245E"/>
    <w:rsid w:val="22DF0545"/>
    <w:rsid w:val="231C53C0"/>
    <w:rsid w:val="23514077"/>
    <w:rsid w:val="23855295"/>
    <w:rsid w:val="23B20773"/>
    <w:rsid w:val="23CF6D67"/>
    <w:rsid w:val="23FF1EED"/>
    <w:rsid w:val="2471718E"/>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3D4040"/>
    <w:rsid w:val="2C495744"/>
    <w:rsid w:val="2CEE6B8D"/>
    <w:rsid w:val="2D233DAE"/>
    <w:rsid w:val="2D660CAA"/>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1B3CA2"/>
    <w:rsid w:val="346E4104"/>
    <w:rsid w:val="3476470C"/>
    <w:rsid w:val="34D83C16"/>
    <w:rsid w:val="34F42A3D"/>
    <w:rsid w:val="3509315E"/>
    <w:rsid w:val="351A4CC6"/>
    <w:rsid w:val="354C2DF1"/>
    <w:rsid w:val="37024BA7"/>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1332A"/>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474D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91238"/>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485DDB"/>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436033"/>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9D1AD0"/>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1D4028"/>
    <w:rsid w:val="5B3565C2"/>
    <w:rsid w:val="5B73697E"/>
    <w:rsid w:val="5BC3228B"/>
    <w:rsid w:val="5BFC28DA"/>
    <w:rsid w:val="5C3B1FEA"/>
    <w:rsid w:val="5C6A01BF"/>
    <w:rsid w:val="5CE80244"/>
    <w:rsid w:val="5CEB6783"/>
    <w:rsid w:val="5D041ECD"/>
    <w:rsid w:val="5D5E1AC8"/>
    <w:rsid w:val="5DCB22E4"/>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3FA38CA"/>
    <w:rsid w:val="64116858"/>
    <w:rsid w:val="64550D9E"/>
    <w:rsid w:val="648D5222"/>
    <w:rsid w:val="64B2258D"/>
    <w:rsid w:val="64C30596"/>
    <w:rsid w:val="64E30C9E"/>
    <w:rsid w:val="64E86D2F"/>
    <w:rsid w:val="657C25FC"/>
    <w:rsid w:val="65997784"/>
    <w:rsid w:val="65A976E6"/>
    <w:rsid w:val="65C64C37"/>
    <w:rsid w:val="65D01190"/>
    <w:rsid w:val="66197BB5"/>
    <w:rsid w:val="662650B5"/>
    <w:rsid w:val="66AB371C"/>
    <w:rsid w:val="66AE1192"/>
    <w:rsid w:val="66CA69C3"/>
    <w:rsid w:val="671D0DDC"/>
    <w:rsid w:val="6794708A"/>
    <w:rsid w:val="67CE0CE2"/>
    <w:rsid w:val="67DA4215"/>
    <w:rsid w:val="67E42DFA"/>
    <w:rsid w:val="681D58BA"/>
    <w:rsid w:val="68EB3ADC"/>
    <w:rsid w:val="69222049"/>
    <w:rsid w:val="69240005"/>
    <w:rsid w:val="69462386"/>
    <w:rsid w:val="69C96ADD"/>
    <w:rsid w:val="69DC5A3B"/>
    <w:rsid w:val="69E50464"/>
    <w:rsid w:val="6A2F06BE"/>
    <w:rsid w:val="6A7016FE"/>
    <w:rsid w:val="6AFC6812"/>
    <w:rsid w:val="6B5E2EC6"/>
    <w:rsid w:val="6BAB5952"/>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381577"/>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24F96"/>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TAH"/>
    <w:basedOn w:val="67"/>
    <w:qFormat/>
    <w:uiPriority w:val="0"/>
    <w:rPr>
      <w:b/>
    </w:rPr>
  </w:style>
  <w:style w:type="paragraph" w:customStyle="1" w:styleId="67">
    <w:name w:val="TAC"/>
    <w:basedOn w:val="47"/>
    <w:qFormat/>
    <w:uiPriority w:val="0"/>
    <w:pPr>
      <w:jc w:val="center"/>
    </w:pPr>
  </w:style>
  <w:style w:type="paragraph" w:customStyle="1" w:styleId="68">
    <w:name w:val="TAN"/>
    <w:basedOn w:val="47"/>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2021-10-22T13:11:57Z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